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9917" w14:textId="77777777" w:rsidR="00257154" w:rsidRDefault="00257154">
      <w:pPr>
        <w:jc w:val="center"/>
        <w:rPr>
          <w:sz w:val="44"/>
          <w:szCs w:val="44"/>
        </w:rPr>
      </w:pPr>
      <w:bookmarkStart w:id="0" w:name="_Hlk149118049"/>
      <w:bookmarkEnd w:id="0"/>
    </w:p>
    <w:p w14:paraId="3B60EA09" w14:textId="77777777" w:rsidR="00257154" w:rsidRDefault="00FD30CF">
      <w:pPr>
        <w:jc w:val="center"/>
        <w:rPr>
          <w:rFonts w:cstheme="minorHAnsi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1A780082" wp14:editId="47739000">
            <wp:extent cx="613410" cy="777875"/>
            <wp:effectExtent l="0" t="0" r="0" b="3175"/>
            <wp:docPr id="7" name="Slika 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42374" cy="81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F3DA7" w14:textId="77777777" w:rsidR="00257154" w:rsidRDefault="00FD30CF">
      <w:pPr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REPUBLIKA HRVATSKA</w:t>
      </w:r>
    </w:p>
    <w:p w14:paraId="4DECF61A" w14:textId="77777777" w:rsidR="00257154" w:rsidRDefault="00FD30CF">
      <w:pPr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 xml:space="preserve">OPĆINA </w:t>
      </w:r>
      <w:bookmarkStart w:id="1" w:name="_Hlk182559326"/>
      <w:r>
        <w:rPr>
          <w:rFonts w:cstheme="minorHAnsi"/>
          <w:b/>
          <w:bCs/>
          <w:sz w:val="44"/>
          <w:szCs w:val="44"/>
        </w:rPr>
        <w:t>KAŠTELIR - LABINCI -</w:t>
      </w:r>
    </w:p>
    <w:p w14:paraId="16AA1366" w14:textId="4984DAF3" w:rsidR="00257154" w:rsidRDefault="00FD30CF">
      <w:pPr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CASTELLIERE</w:t>
      </w:r>
      <w:r>
        <w:rPr>
          <w:rFonts w:cstheme="minorHAnsi"/>
          <w:b/>
          <w:bCs/>
          <w:sz w:val="44"/>
          <w:szCs w:val="44"/>
        </w:rPr>
        <w:t xml:space="preserve"> - S. DOMENICA</w:t>
      </w:r>
    </w:p>
    <w:bookmarkEnd w:id="1"/>
    <w:p w14:paraId="15B6DC44" w14:textId="77777777" w:rsidR="00257154" w:rsidRDefault="00257154">
      <w:pPr>
        <w:jc w:val="center"/>
        <w:rPr>
          <w:rFonts w:cstheme="minorHAnsi"/>
          <w:b/>
          <w:bCs/>
          <w:sz w:val="44"/>
          <w:szCs w:val="44"/>
        </w:rPr>
      </w:pPr>
    </w:p>
    <w:p w14:paraId="232CD6A0" w14:textId="77777777" w:rsidR="00257154" w:rsidRDefault="00257154">
      <w:pPr>
        <w:jc w:val="center"/>
        <w:rPr>
          <w:rFonts w:cstheme="minorHAnsi"/>
          <w:b/>
          <w:bCs/>
          <w:sz w:val="44"/>
          <w:szCs w:val="44"/>
        </w:rPr>
      </w:pPr>
    </w:p>
    <w:p w14:paraId="0A327B44" w14:textId="77777777" w:rsidR="00257154" w:rsidRDefault="00FD30CF">
      <w:pPr>
        <w:jc w:val="center"/>
        <w:rPr>
          <w:rFonts w:cstheme="minorHAnsi"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OBRAZLOŽENJE OPĆEG DIJELA PRORAČUNA</w:t>
      </w:r>
      <w:r>
        <w:rPr>
          <w:rFonts w:cstheme="minorHAnsi"/>
          <w:sz w:val="44"/>
          <w:szCs w:val="44"/>
        </w:rPr>
        <w:t xml:space="preserve"> OPĆINE </w:t>
      </w:r>
      <w:bookmarkStart w:id="2" w:name="_Hlk182559469"/>
      <w:r>
        <w:rPr>
          <w:rFonts w:cstheme="minorHAnsi"/>
          <w:sz w:val="44"/>
          <w:szCs w:val="44"/>
        </w:rPr>
        <w:t>KAŠTELIR - LABINCI</w:t>
      </w:r>
    </w:p>
    <w:p w14:paraId="4DAF8996" w14:textId="0524DB08" w:rsidR="00257154" w:rsidRDefault="00FD30CF">
      <w:pPr>
        <w:jc w:val="center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CASTELLIERE</w:t>
      </w:r>
      <w:r>
        <w:rPr>
          <w:rFonts w:cstheme="minorHAnsi"/>
          <w:sz w:val="44"/>
          <w:szCs w:val="44"/>
        </w:rPr>
        <w:t xml:space="preserve"> - S. DOMENICA</w:t>
      </w:r>
    </w:p>
    <w:bookmarkEnd w:id="2"/>
    <w:p w14:paraId="623E2DEF" w14:textId="77777777" w:rsidR="00257154" w:rsidRDefault="00FD30CF">
      <w:pPr>
        <w:jc w:val="center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ZA 2026. GODINU</w:t>
      </w:r>
    </w:p>
    <w:p w14:paraId="06751FFD" w14:textId="77777777" w:rsidR="00257154" w:rsidRDefault="00FD30CF">
      <w:pPr>
        <w:jc w:val="center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I</w:t>
      </w:r>
    </w:p>
    <w:p w14:paraId="5658F18B" w14:textId="77777777" w:rsidR="00257154" w:rsidRDefault="00FD30CF">
      <w:pPr>
        <w:jc w:val="center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PROJEKCIJE ZA 2027. I 2028. GODINU</w:t>
      </w:r>
    </w:p>
    <w:p w14:paraId="2D374A06" w14:textId="77777777" w:rsidR="00257154" w:rsidRDefault="00257154">
      <w:pPr>
        <w:rPr>
          <w:sz w:val="44"/>
          <w:szCs w:val="44"/>
        </w:rPr>
      </w:pPr>
    </w:p>
    <w:p w14:paraId="3D1F8A91" w14:textId="77777777" w:rsidR="00257154" w:rsidRDefault="00257154">
      <w:pPr>
        <w:jc w:val="center"/>
        <w:rPr>
          <w:sz w:val="44"/>
          <w:szCs w:val="44"/>
        </w:rPr>
      </w:pPr>
    </w:p>
    <w:p w14:paraId="7E13B3F7" w14:textId="77777777" w:rsidR="00257154" w:rsidRDefault="00FD30CF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1CB0C365" wp14:editId="4444AA2C">
            <wp:extent cx="902335" cy="11582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EBFC05" w14:textId="77777777" w:rsidR="00257154" w:rsidRDefault="00257154"/>
    <w:p w14:paraId="7C303E3B" w14:textId="77777777" w:rsidR="00257154" w:rsidRDefault="00FD30CF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lastRenderedPageBreak/>
        <w:t>UVOD</w:t>
      </w:r>
    </w:p>
    <w:p w14:paraId="61D04548" w14:textId="77777777" w:rsidR="00257154" w:rsidRDefault="00257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DFED212" w14:textId="77777777" w:rsidR="00257154" w:rsidRDefault="00FD30C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Zakonom o proračunu (</w:t>
      </w:r>
      <w:r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>„Narodne novine“ br. 144/21)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određena je obveza i postupak donošenja proračuna, temeljnog financijskog dokumenta kojim se procjenjuju prihodi i primici te utvrđuju rashodi i izdaci za jednu proračunsku godinu. </w:t>
      </w:r>
      <w:r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>Temeljem članka 42. Zakona predstavničko tijelo jedinice lokalne i područne (regionalne) samouprave obvezno je, na prijedlog izvršnog tijela, do kraja prosinca tekuće godine donijeti proračun za iduću proračunsku godinu i projekcije za sljedeće dvije godine na razini skupine ekonomske klasifikacije, u roku koji omogućuje primjen</w:t>
      </w:r>
      <w:r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>u proračuna od 1. siječnja godine za koju se donosi proračun.</w:t>
      </w:r>
    </w:p>
    <w:p w14:paraId="03CDBA22" w14:textId="77777777" w:rsidR="00257154" w:rsidRDefault="002571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66A69AB" w14:textId="77777777" w:rsidR="00257154" w:rsidRDefault="00FD30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Temeljni okvir za izradu proračuna predstavljaju Smjernice ekonomske i fiskalne politike za razdoblje 2022. - 2024. i Upute za izradu proračuna jedinica lokalne i područne (regionalne) samouprave za razdoblje 202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- 202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godine koje je sastavilo Ministarstvo financija. </w:t>
      </w:r>
    </w:p>
    <w:p w14:paraId="3B648B41" w14:textId="77777777" w:rsidR="00257154" w:rsidRDefault="002571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B3F170E" w14:textId="77777777" w:rsidR="00257154" w:rsidRDefault="00FD30CF">
      <w:pPr>
        <w:spacing w:after="0"/>
        <w:ind w:firstLine="28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Metodologija za izradu proračuna JLP(R)S propisana je Zakonom o proračunu i podzakonskim aktima kojima se regulira provedba navedenoga Zakona. Do donošenja novih podzakonskih akata i u ovom proračunskom ciklusu koriste se Pravilnik o proračunskim klasifikacijama (Narodne novine, br. 26/10, 120/12, 1/20, 4/24, 122/25) i Pravilnik o proračunskom računovodstvu i Računskom planu (Narodne novine, br. 124/14, 115/15, 87/16,3/18, 126/19, 108/20, 158/23, 154/24).</w:t>
      </w:r>
    </w:p>
    <w:p w14:paraId="5E6430C7" w14:textId="77777777" w:rsidR="00257154" w:rsidRDefault="00257154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4B02114" w14:textId="77777777" w:rsidR="00257154" w:rsidRDefault="00FD30CF">
      <w:pPr>
        <w:spacing w:after="0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Predstavničko tijelo jedinice lokalne i područne (regionalne) samouprave donosi proračun na razini podskupine ekonomske klasifikacije (druga razina računskog plana) za iduću proračunsku godinu i projekciju na razini skupine ekonomske klasifikacije (druga razina računskog plana) za slijedeće dvije proračunske godine.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Usvajanje proračuna, a time i financijskih planova korisnika planova, na višoj razini računskog plana - ekonomske klasifikacije jedan je od ključnih mehanizama koji proračunskim korisnicima daje određenu fleksibilnost u izvršavanju proračuna i financijskog plana, jer su oni ti koji su odgovorni za provođenje svojih programa  (aktivnosti i projekata), ali u skladu s usvojenim proračunom i financijskim planom. JLP(R)S i njihovi proračunski korisnici mogu za svoje potrebe izraditi proračun i financijske planov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 na detaljnijoj razini ekonomske klasifikacije, ali se predstavničkom tijelu na usvajanje podnosi isključivo proračun na drugoj razini ekonomske klasifikacije.</w:t>
      </w:r>
    </w:p>
    <w:p w14:paraId="33F1CD7D" w14:textId="77777777" w:rsidR="00257154" w:rsidRDefault="00257154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E650A5A" w14:textId="77777777" w:rsidR="00257154" w:rsidRDefault="00FD30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Sukladno članku 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novog Zakona o proračunu, Proračun JLP(R)S sastoji se od plana za proračunsku godinu i projekcija za slijedeće dvije godine, a sadrži i financijske planove proračunskih korisnika prikazane kroz: </w:t>
      </w:r>
    </w:p>
    <w:p w14:paraId="654B05A5" w14:textId="77777777" w:rsidR="00257154" w:rsidRDefault="00257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A247AD0" w14:textId="77777777" w:rsidR="00257154" w:rsidRDefault="00FD30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 dio proračuna, a kojeg čine račun prihoda, rashoda i račun financiranja</w:t>
      </w:r>
    </w:p>
    <w:p w14:paraId="3488384F" w14:textId="77777777" w:rsidR="00257154" w:rsidRDefault="00FD30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Posebni dio proračuna koji se sastoji  od plana rashoda i izdataka iskazanih po vrstama, raspoređenih u programe, a koji se sastoje od aktivnosti i projekata</w:t>
      </w:r>
    </w:p>
    <w:p w14:paraId="68E4F1C2" w14:textId="77777777" w:rsidR="00257154" w:rsidRDefault="00FD30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Obrazloženje općeg i posebnog dijela, koje je sastavni dio proračuna </w:t>
      </w:r>
    </w:p>
    <w:p w14:paraId="321B8F1F" w14:textId="77777777" w:rsidR="00257154" w:rsidRDefault="00FD30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Odluka o izvršavanju proračuna za 202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val="es-ES"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</w:t>
      </w:r>
    </w:p>
    <w:p w14:paraId="664E6476" w14:textId="77777777" w:rsidR="00257154" w:rsidRDefault="002571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870F8A7" w14:textId="77777777" w:rsidR="00257154" w:rsidRDefault="00FD30C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  <w:r>
        <w:rPr>
          <w:rFonts w:cstheme="minorHAnsi"/>
          <w:sz w:val="44"/>
          <w:szCs w:val="44"/>
        </w:rPr>
        <w:br w:type="page"/>
      </w:r>
      <w:r>
        <w:rPr>
          <w:rFonts w:ascii="Times New Roman" w:hAnsi="Times New Roman" w:cs="Times New Roman"/>
          <w:b/>
          <w:kern w:val="0"/>
          <w:sz w:val="24"/>
          <w14:ligatures w14:val="none"/>
        </w:rPr>
        <w:lastRenderedPageBreak/>
        <w:t>OBRAZLOŽENJE PLANIRANIH PRIHODA I PRIMITAKA TE RASHODA I IZDATAKA PLANA PRORAČUNA OPĆINE KAŠTELIR - LABINCI</w:t>
      </w:r>
    </w:p>
    <w:p w14:paraId="51000D30" w14:textId="7E7E460F" w:rsidR="00257154" w:rsidRDefault="00FD30CF">
      <w:pPr>
        <w:pStyle w:val="Odlomakpopisa"/>
        <w:spacing w:after="0"/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14:ligatures w14:val="none"/>
        </w:rPr>
        <w:t>CASTELLIERE</w:t>
      </w:r>
      <w:r>
        <w:rPr>
          <w:rFonts w:ascii="Times New Roman" w:hAnsi="Times New Roman" w:cs="Times New Roman"/>
          <w:b/>
          <w:kern w:val="0"/>
          <w:sz w:val="24"/>
          <w14:ligatures w14:val="none"/>
        </w:rPr>
        <w:t xml:space="preserve"> - S. DOMENICA</w:t>
      </w:r>
      <w:r>
        <w:rPr>
          <w:rFonts w:ascii="Times New Roman" w:hAnsi="Times New Roman" w:cs="Times New Roman"/>
          <w:b/>
          <w:kern w:val="0"/>
          <w:sz w:val="24"/>
          <w14:ligatures w14:val="none"/>
        </w:rPr>
        <w:t xml:space="preserve"> ZA 2026. GODINU S PROJEKCIJAMA ZA 2027. I 2028. GODINU</w:t>
      </w:r>
    </w:p>
    <w:p w14:paraId="0A06C135" w14:textId="77777777" w:rsidR="00257154" w:rsidRDefault="00257154">
      <w:pPr>
        <w:spacing w:after="0"/>
        <w:ind w:left="720"/>
        <w:contextualSpacing/>
        <w:jc w:val="both"/>
        <w:rPr>
          <w:rFonts w:ascii="Times New Roman" w:hAnsi="Times New Roman" w:cs="Times New Roman"/>
          <w:b/>
          <w:color w:val="FF0000"/>
          <w:kern w:val="0"/>
          <w:sz w:val="24"/>
          <w14:ligatures w14:val="none"/>
        </w:rPr>
      </w:pPr>
    </w:p>
    <w:p w14:paraId="402ECEC4" w14:textId="76DFBCCB" w:rsidR="00257154" w:rsidRPr="00B3424D" w:rsidRDefault="00FD30CF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cs="Times New Roman"/>
          <w:color w:val="FF0000"/>
          <w:kern w:val="0"/>
          <w:sz w:val="24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14:ligatures w14:val="none"/>
        </w:rPr>
        <w:t xml:space="preserve">Prijedlogom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Proračuna 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Općine </w:t>
      </w:r>
      <w:proofErr w:type="spellStart"/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Kaštelir</w:t>
      </w:r>
      <w:proofErr w:type="spellEnd"/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– Labinci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Castelliere</w:t>
      </w:r>
      <w:proofErr w:type="spellEnd"/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S. Domenica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202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ukupni prihodi i primici planirani su u iznosu od  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5.502.000,00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dok su u 202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godini projicirani u iznosu od 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3.962.000,00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odnosno u 202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godini u iznosu od 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4.030.000,00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5EBF1E1A" w14:textId="77777777" w:rsidR="00257154" w:rsidRDefault="00FD30CF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 ukupnih rashoda i izdataka za 202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iznosi 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6.002.000,00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odnosno projekcije istih za naredne dvije godine planirane su za 202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u iznosu od 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3.962.000,00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za 202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u iznosu od 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4.030.000,00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64F2B0AC" w14:textId="77777777" w:rsidR="00257154" w:rsidRDefault="00257154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D709F89" w14:textId="3124F00F" w:rsidR="00257154" w:rsidRDefault="00FD30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Tablica 1. Struktura Proračuna </w:t>
      </w:r>
      <w:r w:rsidRPr="00B342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Općine </w:t>
      </w:r>
      <w:proofErr w:type="spellStart"/>
      <w:r w:rsidRPr="00B342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Kaštelir</w:t>
      </w:r>
      <w:proofErr w:type="spellEnd"/>
      <w:r w:rsidRPr="00B342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– Labinci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Castelliere</w:t>
      </w:r>
      <w:proofErr w:type="spellEnd"/>
      <w:r w:rsidRPr="00B342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-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S. Domenica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za 202</w:t>
      </w:r>
      <w:r w:rsidRPr="00B342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 godinu i projekcija za 202</w:t>
      </w:r>
      <w:r w:rsidRPr="00B342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 i 202</w:t>
      </w:r>
      <w:r w:rsidRPr="00B342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. godinu prema osnovnoj klasifikaciji </w:t>
      </w:r>
    </w:p>
    <w:p w14:paraId="74A51791" w14:textId="77777777" w:rsidR="00257154" w:rsidRDefault="002571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7C861CD8" w14:textId="77777777" w:rsidR="00257154" w:rsidRDefault="00FD30C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hr-HR"/>
          <w14:ligatures w14:val="none"/>
        </w:rPr>
        <w:t xml:space="preserve">         - u eurima-</w:t>
      </w:r>
      <w:r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  <w:tab/>
        <w:t xml:space="preserve"> </w:t>
      </w:r>
    </w:p>
    <w:tbl>
      <w:tblPr>
        <w:tblStyle w:val="Tablicareetke4-isticanje11"/>
        <w:tblW w:w="8089" w:type="dxa"/>
        <w:jc w:val="center"/>
        <w:tblLook w:val="04A0" w:firstRow="1" w:lastRow="0" w:firstColumn="1" w:lastColumn="0" w:noHBand="0" w:noVBand="1"/>
      </w:tblPr>
      <w:tblGrid>
        <w:gridCol w:w="613"/>
        <w:gridCol w:w="2790"/>
        <w:gridCol w:w="1430"/>
        <w:gridCol w:w="1622"/>
        <w:gridCol w:w="1634"/>
      </w:tblGrid>
      <w:tr w:rsidR="00257154" w14:paraId="2DC1A0F4" w14:textId="77777777" w:rsidTr="00257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</w:tcPr>
          <w:p w14:paraId="400D7E62" w14:textId="77777777" w:rsidR="00257154" w:rsidRDefault="00FD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Red. br.</w:t>
            </w:r>
          </w:p>
        </w:tc>
        <w:tc>
          <w:tcPr>
            <w:tcW w:w="2790" w:type="dxa"/>
            <w:vAlign w:val="center"/>
          </w:tcPr>
          <w:p w14:paraId="60B64F70" w14:textId="77777777" w:rsidR="00257154" w:rsidRDefault="00FD30C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OPIS</w:t>
            </w:r>
          </w:p>
        </w:tc>
        <w:tc>
          <w:tcPr>
            <w:tcW w:w="1430" w:type="dxa"/>
            <w:vAlign w:val="center"/>
          </w:tcPr>
          <w:p w14:paraId="4D1273B9" w14:textId="77777777" w:rsidR="00257154" w:rsidRDefault="00FD30C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PLAN 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622" w:type="dxa"/>
            <w:vAlign w:val="center"/>
          </w:tcPr>
          <w:p w14:paraId="57EE5998" w14:textId="77777777" w:rsidR="00257154" w:rsidRDefault="00FD30C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634" w:type="dxa"/>
            <w:vAlign w:val="center"/>
          </w:tcPr>
          <w:p w14:paraId="6DF010CE" w14:textId="77777777" w:rsidR="00257154" w:rsidRDefault="00FD30C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257154" w14:paraId="55E9067F" w14:textId="77777777" w:rsidTr="00257154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shd w:val="clear" w:color="auto" w:fill="B4C6E7" w:themeFill="accent1" w:themeFillTint="66"/>
            <w:vAlign w:val="center"/>
          </w:tcPr>
          <w:p w14:paraId="78487CB1" w14:textId="77777777" w:rsidR="00257154" w:rsidRDefault="00FD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A.</w:t>
            </w:r>
          </w:p>
        </w:tc>
        <w:tc>
          <w:tcPr>
            <w:tcW w:w="2790" w:type="dxa"/>
            <w:shd w:val="clear" w:color="auto" w:fill="B4C6E7" w:themeFill="accent1" w:themeFillTint="66"/>
            <w:vAlign w:val="center"/>
          </w:tcPr>
          <w:p w14:paraId="0FE47A28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PRIHODI I PRIMICI</w:t>
            </w:r>
          </w:p>
        </w:tc>
        <w:tc>
          <w:tcPr>
            <w:tcW w:w="1430" w:type="dxa"/>
            <w:shd w:val="clear" w:color="auto" w:fill="B4C6E7" w:themeFill="accent1" w:themeFillTint="66"/>
            <w:vAlign w:val="center"/>
          </w:tcPr>
          <w:p w14:paraId="4B2EFAB7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5.502.000,00</w:t>
            </w:r>
          </w:p>
        </w:tc>
        <w:tc>
          <w:tcPr>
            <w:tcW w:w="1622" w:type="dxa"/>
            <w:shd w:val="clear" w:color="auto" w:fill="B4C6E7" w:themeFill="accent1" w:themeFillTint="66"/>
            <w:vAlign w:val="center"/>
          </w:tcPr>
          <w:p w14:paraId="6455226F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3.962.000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,00</w:t>
            </w:r>
          </w:p>
        </w:tc>
        <w:tc>
          <w:tcPr>
            <w:tcW w:w="1634" w:type="dxa"/>
            <w:shd w:val="clear" w:color="auto" w:fill="B4C6E7" w:themeFill="accent1" w:themeFillTint="66"/>
            <w:vAlign w:val="center"/>
          </w:tcPr>
          <w:p w14:paraId="3116E201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4.030.000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,00</w:t>
            </w:r>
          </w:p>
        </w:tc>
      </w:tr>
      <w:tr w:rsidR="00257154" w14:paraId="0F936EC8" w14:textId="77777777" w:rsidTr="0025715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</w:tcPr>
          <w:p w14:paraId="67AB1093" w14:textId="77777777" w:rsidR="00257154" w:rsidRDefault="00FD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2790" w:type="dxa"/>
            <w:vAlign w:val="center"/>
          </w:tcPr>
          <w:p w14:paraId="28A7BA76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UKUPNI PRIHODI</w:t>
            </w:r>
          </w:p>
        </w:tc>
        <w:tc>
          <w:tcPr>
            <w:tcW w:w="1430" w:type="dxa"/>
            <w:vAlign w:val="center"/>
          </w:tcPr>
          <w:p w14:paraId="45A8F94A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3.252.000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,00</w:t>
            </w:r>
          </w:p>
        </w:tc>
        <w:tc>
          <w:tcPr>
            <w:tcW w:w="1622" w:type="dxa"/>
            <w:vAlign w:val="center"/>
          </w:tcPr>
          <w:p w14:paraId="7E705D1A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3.412.000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,00</w:t>
            </w:r>
          </w:p>
        </w:tc>
        <w:tc>
          <w:tcPr>
            <w:tcW w:w="1634" w:type="dxa"/>
            <w:vAlign w:val="center"/>
          </w:tcPr>
          <w:p w14:paraId="37B0AAC1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3.480.000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,00</w:t>
            </w:r>
          </w:p>
        </w:tc>
      </w:tr>
      <w:tr w:rsidR="00257154" w14:paraId="16395B2E" w14:textId="77777777" w:rsidTr="0025715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</w:tcPr>
          <w:p w14:paraId="260D98C5" w14:textId="77777777" w:rsidR="00257154" w:rsidRDefault="0025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vAlign w:val="center"/>
          </w:tcPr>
          <w:p w14:paraId="72AA7430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30" w:type="dxa"/>
            <w:vAlign w:val="bottom"/>
          </w:tcPr>
          <w:p w14:paraId="10383F3D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3.062.000,00</w:t>
            </w:r>
          </w:p>
        </w:tc>
        <w:tc>
          <w:tcPr>
            <w:tcW w:w="1622" w:type="dxa"/>
            <w:vAlign w:val="bottom"/>
          </w:tcPr>
          <w:p w14:paraId="58DECCEB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2.903.000,00</w:t>
            </w:r>
          </w:p>
        </w:tc>
        <w:tc>
          <w:tcPr>
            <w:tcW w:w="1634" w:type="dxa"/>
            <w:vAlign w:val="bottom"/>
          </w:tcPr>
          <w:p w14:paraId="76683154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2.988.500,00</w:t>
            </w:r>
          </w:p>
        </w:tc>
      </w:tr>
      <w:tr w:rsidR="00257154" w14:paraId="6033F696" w14:textId="77777777" w:rsidTr="00257154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</w:tcPr>
          <w:p w14:paraId="316BAA56" w14:textId="77777777" w:rsidR="00257154" w:rsidRDefault="0025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vAlign w:val="center"/>
          </w:tcPr>
          <w:p w14:paraId="0A7268AE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430" w:type="dxa"/>
            <w:vAlign w:val="bottom"/>
          </w:tcPr>
          <w:p w14:paraId="6226A0F8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190.000,00</w:t>
            </w:r>
          </w:p>
        </w:tc>
        <w:tc>
          <w:tcPr>
            <w:tcW w:w="1622" w:type="dxa"/>
            <w:vAlign w:val="bottom"/>
          </w:tcPr>
          <w:p w14:paraId="7EFA280D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509.000,00</w:t>
            </w:r>
          </w:p>
        </w:tc>
        <w:tc>
          <w:tcPr>
            <w:tcW w:w="1634" w:type="dxa"/>
            <w:vAlign w:val="bottom"/>
          </w:tcPr>
          <w:p w14:paraId="5DDF7262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491.500,00</w:t>
            </w:r>
          </w:p>
        </w:tc>
      </w:tr>
      <w:tr w:rsidR="00257154" w14:paraId="7DCE24C4" w14:textId="77777777" w:rsidTr="00257154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</w:tcPr>
          <w:p w14:paraId="4487C24A" w14:textId="77777777" w:rsidR="00257154" w:rsidRDefault="00FD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2790" w:type="dxa"/>
            <w:vAlign w:val="center"/>
          </w:tcPr>
          <w:p w14:paraId="27357D02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430" w:type="dxa"/>
            <w:vAlign w:val="bottom"/>
          </w:tcPr>
          <w:p w14:paraId="4A096D53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2.250.000,00</w:t>
            </w:r>
          </w:p>
        </w:tc>
        <w:tc>
          <w:tcPr>
            <w:tcW w:w="1622" w:type="dxa"/>
            <w:vAlign w:val="bottom"/>
          </w:tcPr>
          <w:p w14:paraId="66B3DA73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550.000,00</w:t>
            </w:r>
          </w:p>
        </w:tc>
        <w:tc>
          <w:tcPr>
            <w:tcW w:w="1634" w:type="dxa"/>
            <w:vAlign w:val="bottom"/>
          </w:tcPr>
          <w:p w14:paraId="1CD04AB1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550.000,00</w:t>
            </w:r>
          </w:p>
        </w:tc>
      </w:tr>
      <w:tr w:rsidR="00257154" w14:paraId="2CE42FF4" w14:textId="77777777" w:rsidTr="00257154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shd w:val="clear" w:color="auto" w:fill="B4C6E7" w:themeFill="accent1" w:themeFillTint="66"/>
            <w:vAlign w:val="center"/>
          </w:tcPr>
          <w:p w14:paraId="68656372" w14:textId="77777777" w:rsidR="00257154" w:rsidRDefault="00FD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B.</w:t>
            </w:r>
          </w:p>
        </w:tc>
        <w:tc>
          <w:tcPr>
            <w:tcW w:w="2790" w:type="dxa"/>
            <w:shd w:val="clear" w:color="auto" w:fill="B4C6E7" w:themeFill="accent1" w:themeFillTint="66"/>
            <w:vAlign w:val="center"/>
          </w:tcPr>
          <w:p w14:paraId="14A4EA27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RASHODI I IZDACI</w:t>
            </w:r>
          </w:p>
        </w:tc>
        <w:tc>
          <w:tcPr>
            <w:tcW w:w="1430" w:type="dxa"/>
            <w:shd w:val="clear" w:color="auto" w:fill="B4C6E7" w:themeFill="accent1" w:themeFillTint="66"/>
            <w:vAlign w:val="center"/>
          </w:tcPr>
          <w:p w14:paraId="15B79690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6.002.000,00</w:t>
            </w:r>
          </w:p>
        </w:tc>
        <w:tc>
          <w:tcPr>
            <w:tcW w:w="1622" w:type="dxa"/>
            <w:shd w:val="clear" w:color="auto" w:fill="B4C6E7" w:themeFill="accent1" w:themeFillTint="66"/>
            <w:vAlign w:val="center"/>
          </w:tcPr>
          <w:p w14:paraId="3F17D539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3.962.000,00</w:t>
            </w:r>
          </w:p>
        </w:tc>
        <w:tc>
          <w:tcPr>
            <w:tcW w:w="1634" w:type="dxa"/>
            <w:shd w:val="clear" w:color="auto" w:fill="B4C6E7" w:themeFill="accent1" w:themeFillTint="66"/>
            <w:vAlign w:val="center"/>
          </w:tcPr>
          <w:p w14:paraId="105BCD6B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4.030.000,00</w:t>
            </w:r>
          </w:p>
        </w:tc>
      </w:tr>
      <w:tr w:rsidR="00257154" w14:paraId="7EDB82D0" w14:textId="77777777" w:rsidTr="0025715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</w:tcPr>
          <w:p w14:paraId="49107251" w14:textId="77777777" w:rsidR="00257154" w:rsidRDefault="00FD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2790" w:type="dxa"/>
            <w:vAlign w:val="center"/>
          </w:tcPr>
          <w:p w14:paraId="16FE5CA1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UKUPNI RASHODI</w:t>
            </w:r>
          </w:p>
        </w:tc>
        <w:tc>
          <w:tcPr>
            <w:tcW w:w="1430" w:type="dxa"/>
            <w:vAlign w:val="center"/>
          </w:tcPr>
          <w:p w14:paraId="37343FBD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5.976.600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,00</w:t>
            </w:r>
          </w:p>
        </w:tc>
        <w:tc>
          <w:tcPr>
            <w:tcW w:w="1622" w:type="dxa"/>
            <w:vAlign w:val="center"/>
          </w:tcPr>
          <w:p w14:paraId="6A7E18CA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3.936.600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,00</w:t>
            </w:r>
          </w:p>
        </w:tc>
        <w:tc>
          <w:tcPr>
            <w:tcW w:w="1634" w:type="dxa"/>
            <w:vAlign w:val="center"/>
          </w:tcPr>
          <w:p w14:paraId="0289E324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4.004.600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,00</w:t>
            </w:r>
          </w:p>
        </w:tc>
      </w:tr>
      <w:tr w:rsidR="00257154" w14:paraId="6E68F081" w14:textId="77777777" w:rsidTr="0025715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</w:tcPr>
          <w:p w14:paraId="4636623F" w14:textId="77777777" w:rsidR="00257154" w:rsidRDefault="0025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vAlign w:val="center"/>
          </w:tcPr>
          <w:p w14:paraId="2F63DF08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0" w:type="dxa"/>
            <w:vAlign w:val="bottom"/>
          </w:tcPr>
          <w:p w14:paraId="25700F13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2.943.100,00</w:t>
            </w:r>
          </w:p>
        </w:tc>
        <w:tc>
          <w:tcPr>
            <w:tcW w:w="1622" w:type="dxa"/>
            <w:vAlign w:val="bottom"/>
          </w:tcPr>
          <w:p w14:paraId="56FF0539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2.610.100,00</w:t>
            </w:r>
          </w:p>
        </w:tc>
        <w:tc>
          <w:tcPr>
            <w:tcW w:w="1634" w:type="dxa"/>
            <w:vAlign w:val="bottom"/>
          </w:tcPr>
          <w:p w14:paraId="107833D3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2.620.600,00</w:t>
            </w:r>
          </w:p>
        </w:tc>
      </w:tr>
      <w:tr w:rsidR="00257154" w14:paraId="29BB9F0D" w14:textId="77777777" w:rsidTr="00257154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</w:tcPr>
          <w:p w14:paraId="4ADF704F" w14:textId="77777777" w:rsidR="00257154" w:rsidRDefault="0025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vAlign w:val="center"/>
          </w:tcPr>
          <w:p w14:paraId="78E472D1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30" w:type="dxa"/>
            <w:vAlign w:val="bottom"/>
          </w:tcPr>
          <w:p w14:paraId="6F15C03F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3.033.500,00</w:t>
            </w:r>
          </w:p>
        </w:tc>
        <w:tc>
          <w:tcPr>
            <w:tcW w:w="1622" w:type="dxa"/>
            <w:vAlign w:val="bottom"/>
          </w:tcPr>
          <w:p w14:paraId="307D28B3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1.326.500,00</w:t>
            </w:r>
          </w:p>
        </w:tc>
        <w:tc>
          <w:tcPr>
            <w:tcW w:w="1634" w:type="dxa"/>
            <w:vAlign w:val="bottom"/>
          </w:tcPr>
          <w:p w14:paraId="4C8F1F96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1.384.000,00</w:t>
            </w:r>
          </w:p>
        </w:tc>
      </w:tr>
      <w:tr w:rsidR="00257154" w14:paraId="0A9C2F76" w14:textId="77777777" w:rsidTr="00257154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</w:tcPr>
          <w:p w14:paraId="1DD17C3C" w14:textId="77777777" w:rsidR="00257154" w:rsidRDefault="00FD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2790" w:type="dxa"/>
            <w:vAlign w:val="center"/>
          </w:tcPr>
          <w:p w14:paraId="0897BA5B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30" w:type="dxa"/>
            <w:vAlign w:val="bottom"/>
          </w:tcPr>
          <w:p w14:paraId="3FD4DD25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25.400,00</w:t>
            </w:r>
          </w:p>
        </w:tc>
        <w:tc>
          <w:tcPr>
            <w:tcW w:w="1622" w:type="dxa"/>
            <w:vAlign w:val="bottom"/>
          </w:tcPr>
          <w:p w14:paraId="6434B519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25.400,00</w:t>
            </w:r>
          </w:p>
        </w:tc>
        <w:tc>
          <w:tcPr>
            <w:tcW w:w="1634" w:type="dxa"/>
            <w:vAlign w:val="bottom"/>
          </w:tcPr>
          <w:p w14:paraId="5514660F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25.400,00</w:t>
            </w:r>
          </w:p>
        </w:tc>
      </w:tr>
      <w:tr w:rsidR="00257154" w14:paraId="5E46CF62" w14:textId="77777777" w:rsidTr="00257154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shd w:val="clear" w:color="auto" w:fill="B4C6E7" w:themeFill="accent1" w:themeFillTint="66"/>
            <w:vAlign w:val="center"/>
          </w:tcPr>
          <w:p w14:paraId="24D56576" w14:textId="77777777" w:rsidR="00257154" w:rsidRDefault="00FD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C.</w:t>
            </w:r>
          </w:p>
        </w:tc>
        <w:tc>
          <w:tcPr>
            <w:tcW w:w="2790" w:type="dxa"/>
            <w:shd w:val="clear" w:color="auto" w:fill="B4C6E7" w:themeFill="accent1" w:themeFillTint="66"/>
            <w:vAlign w:val="center"/>
          </w:tcPr>
          <w:p w14:paraId="29A21E0F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 IZ PRETHODNE GODINE</w:t>
            </w:r>
          </w:p>
        </w:tc>
        <w:tc>
          <w:tcPr>
            <w:tcW w:w="1430" w:type="dxa"/>
            <w:shd w:val="clear" w:color="auto" w:fill="B4C6E7" w:themeFill="accent1" w:themeFillTint="66"/>
            <w:vAlign w:val="center"/>
          </w:tcPr>
          <w:p w14:paraId="4B67F626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500.000,00</w:t>
            </w:r>
          </w:p>
        </w:tc>
        <w:tc>
          <w:tcPr>
            <w:tcW w:w="1622" w:type="dxa"/>
            <w:shd w:val="clear" w:color="auto" w:fill="B4C6E7" w:themeFill="accent1" w:themeFillTint="66"/>
            <w:vAlign w:val="center"/>
          </w:tcPr>
          <w:p w14:paraId="6E5ADB54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0,00</w:t>
            </w:r>
          </w:p>
        </w:tc>
        <w:tc>
          <w:tcPr>
            <w:tcW w:w="1634" w:type="dxa"/>
            <w:shd w:val="clear" w:color="auto" w:fill="B4C6E7" w:themeFill="accent1" w:themeFillTint="66"/>
            <w:vAlign w:val="center"/>
          </w:tcPr>
          <w:p w14:paraId="2E9D2951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0,00</w:t>
            </w:r>
          </w:p>
        </w:tc>
      </w:tr>
      <w:tr w:rsidR="00257154" w14:paraId="0D8019D6" w14:textId="77777777" w:rsidTr="0025715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shd w:val="clear" w:color="auto" w:fill="B4C6E7" w:themeFill="accent1" w:themeFillTint="66"/>
            <w:vAlign w:val="center"/>
          </w:tcPr>
          <w:p w14:paraId="5D8EBCF7" w14:textId="77777777" w:rsidR="00257154" w:rsidRDefault="00FD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D.</w:t>
            </w:r>
          </w:p>
        </w:tc>
        <w:tc>
          <w:tcPr>
            <w:tcW w:w="2790" w:type="dxa"/>
            <w:shd w:val="clear" w:color="auto" w:fill="B4C6E7" w:themeFill="accent1" w:themeFillTint="66"/>
            <w:vAlign w:val="center"/>
          </w:tcPr>
          <w:p w14:paraId="47F42BD1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VIŠAK/MANJAK PRIHODA            (A-B-C)</w:t>
            </w:r>
          </w:p>
        </w:tc>
        <w:tc>
          <w:tcPr>
            <w:tcW w:w="1430" w:type="dxa"/>
            <w:shd w:val="clear" w:color="auto" w:fill="B4C6E7" w:themeFill="accent1" w:themeFillTint="66"/>
            <w:vAlign w:val="center"/>
          </w:tcPr>
          <w:p w14:paraId="7D41D3D4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0,00</w:t>
            </w:r>
          </w:p>
        </w:tc>
        <w:tc>
          <w:tcPr>
            <w:tcW w:w="1622" w:type="dxa"/>
            <w:shd w:val="clear" w:color="auto" w:fill="B4C6E7" w:themeFill="accent1" w:themeFillTint="66"/>
            <w:vAlign w:val="center"/>
          </w:tcPr>
          <w:p w14:paraId="6168633A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0,00</w:t>
            </w:r>
          </w:p>
        </w:tc>
        <w:tc>
          <w:tcPr>
            <w:tcW w:w="1634" w:type="dxa"/>
            <w:shd w:val="clear" w:color="auto" w:fill="B4C6E7" w:themeFill="accent1" w:themeFillTint="66"/>
            <w:vAlign w:val="center"/>
          </w:tcPr>
          <w:p w14:paraId="7CB3819B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0,00</w:t>
            </w:r>
          </w:p>
        </w:tc>
      </w:tr>
    </w:tbl>
    <w:p w14:paraId="066BEA68" w14:textId="77777777" w:rsidR="00257154" w:rsidRDefault="002571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750C4C14" w14:textId="77777777" w:rsidR="00257154" w:rsidRDefault="00257154">
      <w:pPr>
        <w:rPr>
          <w:rFonts w:cstheme="minorHAnsi"/>
          <w:sz w:val="44"/>
          <w:szCs w:val="44"/>
        </w:rPr>
      </w:pPr>
    </w:p>
    <w:p w14:paraId="73CF9339" w14:textId="77777777" w:rsidR="00257154" w:rsidRDefault="00257154">
      <w:pPr>
        <w:rPr>
          <w:rFonts w:cstheme="minorHAnsi"/>
          <w:sz w:val="44"/>
          <w:szCs w:val="44"/>
        </w:rPr>
      </w:pPr>
    </w:p>
    <w:p w14:paraId="7D4FEA90" w14:textId="77777777" w:rsidR="00257154" w:rsidRDefault="00257154">
      <w:pPr>
        <w:rPr>
          <w:rFonts w:cstheme="minorHAnsi"/>
          <w:sz w:val="44"/>
          <w:szCs w:val="44"/>
        </w:rPr>
      </w:pPr>
    </w:p>
    <w:p w14:paraId="7DE69610" w14:textId="77777777" w:rsidR="00257154" w:rsidRDefault="00FD30CF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br w:type="page"/>
      </w:r>
    </w:p>
    <w:p w14:paraId="1217D87B" w14:textId="18F61662" w:rsidR="00257154" w:rsidRDefault="00FD30C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14:ligatures w14:val="none"/>
        </w:rPr>
        <w:lastRenderedPageBreak/>
        <w:t xml:space="preserve">PRIHODI PLANA PRORAČUNA OPĆINE </w:t>
      </w:r>
      <w:bookmarkStart w:id="3" w:name="_Hlk182561434"/>
      <w:r>
        <w:rPr>
          <w:rFonts w:ascii="Times New Roman" w:hAnsi="Times New Roman" w:cs="Times New Roman"/>
          <w:b/>
          <w:kern w:val="0"/>
          <w:sz w:val="24"/>
          <w14:ligatures w14:val="none"/>
        </w:rPr>
        <w:t>KAŠTELIR – LABINCI CASTELLIERE</w:t>
      </w:r>
      <w:r>
        <w:rPr>
          <w:rFonts w:ascii="Times New Roman" w:hAnsi="Times New Roman" w:cs="Times New Roman"/>
          <w:b/>
          <w:kern w:val="0"/>
          <w:sz w:val="24"/>
          <w14:ligatures w14:val="none"/>
        </w:rPr>
        <w:t xml:space="preserve"> - S. DOMENICA</w:t>
      </w:r>
    </w:p>
    <w:bookmarkEnd w:id="3"/>
    <w:p w14:paraId="37D8931E" w14:textId="77777777" w:rsidR="00257154" w:rsidRDefault="00257154">
      <w:pPr>
        <w:spacing w:after="0"/>
        <w:ind w:left="720"/>
        <w:contextualSpacing/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</w:p>
    <w:p w14:paraId="0A90B4BA" w14:textId="31CD6C6F" w:rsidR="00257154" w:rsidRPr="00B3424D" w:rsidRDefault="00FD30C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cs="Times New Roman"/>
          <w:kern w:val="0"/>
          <w:sz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Plan prihoda i primitaka Proračuna 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Općine </w:t>
      </w:r>
      <w:proofErr w:type="spellStart"/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Kaštelir</w:t>
      </w:r>
      <w:proofErr w:type="spellEnd"/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– Labinci -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Castelliere</w:t>
      </w:r>
      <w:proofErr w:type="spellEnd"/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S. Domenica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202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 zasniva se na  vlastitim procjenama javnih prihoda, a u skladu sa regulativom koja određuje proračunske prihode. Plan prihoda i primitaka zasniva se također na važećim zakonskim propisima u trenutku podnošenja prijedloga Proračuna za 202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 i projekcije za razdoblje 202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i 202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godine 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Općinskom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vijeću, kojima se utvrđuju izvori financiranja i pripadnost pojedinih prihoda za financiranje djelokruga poslova iz nadležnosti lokalne i područne (regionalne) samouprave.</w:t>
      </w:r>
    </w:p>
    <w:p w14:paraId="6C71FA57" w14:textId="77777777" w:rsidR="00257154" w:rsidRDefault="00FD30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dostavljenim Uputama za izradu proračuna JLP(R)S 202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.-202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godine, nisu dani parametri kretanja prihoda u planskom razdoblju.</w:t>
      </w:r>
    </w:p>
    <w:p w14:paraId="6B9DD357" w14:textId="77777777" w:rsidR="00257154" w:rsidRDefault="002571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0C194A3" w14:textId="77777777" w:rsidR="00257154" w:rsidRDefault="00FD30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Ukupni prihodi i primici planirani su 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u iznosu od  5.502.000,00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U projekcijama za 2027. i 2028. godinu plan ukupnih prihoda iznosi </w:t>
      </w:r>
      <w:r>
        <w:rPr>
          <w:rFonts w:ascii="Times New Roman" w:hAnsi="Times New Roman"/>
          <w:color w:val="000000" w:themeColor="text1"/>
          <w:kern w:val="0"/>
          <w:sz w:val="24"/>
          <w:szCs w:val="24"/>
          <w14:ligatures w14:val="none"/>
        </w:rPr>
        <w:t>3.962.000,00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za 2027. godinu, odnosno </w:t>
      </w:r>
      <w:r>
        <w:rPr>
          <w:rFonts w:ascii="Times New Roman" w:hAnsi="Times New Roman"/>
          <w:color w:val="000000" w:themeColor="text1"/>
          <w:kern w:val="0"/>
          <w:sz w:val="24"/>
          <w:szCs w:val="24"/>
          <w14:ligatures w14:val="none"/>
        </w:rPr>
        <w:t>4.030.000,00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za 2028. godinu. </w:t>
      </w:r>
    </w:p>
    <w:p w14:paraId="3D6FF793" w14:textId="77777777" w:rsidR="00257154" w:rsidRDefault="00257154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14:ligatures w14:val="none"/>
        </w:rPr>
      </w:pPr>
    </w:p>
    <w:p w14:paraId="0B798B63" w14:textId="2A73A93C" w:rsidR="00257154" w:rsidRDefault="00FD30CF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4"/>
          <w14:ligatures w14:val="none"/>
        </w:rPr>
        <w:t xml:space="preserve">Tablica 2. Planirani prihodi Proračuna </w:t>
      </w:r>
      <w:r w:rsidRPr="00B342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Općine </w:t>
      </w:r>
      <w:proofErr w:type="spellStart"/>
      <w:r w:rsidRPr="00B342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Kaštelir</w:t>
      </w:r>
      <w:proofErr w:type="spellEnd"/>
      <w:r w:rsidRPr="00B342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– Labinci -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Castelliere</w:t>
      </w:r>
      <w:proofErr w:type="spellEnd"/>
      <w:r w:rsidRPr="00B342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-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S. Domenica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za razdoblje od 202</w:t>
      </w:r>
      <w:r w:rsidRPr="00B342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 - 202</w:t>
      </w:r>
      <w:r w:rsidRPr="00B342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. godine </w:t>
      </w:r>
    </w:p>
    <w:p w14:paraId="50E5054B" w14:textId="77777777" w:rsidR="00257154" w:rsidRDefault="00257154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D08EE27" w14:textId="77777777" w:rsidR="00257154" w:rsidRDefault="00FD30CF">
      <w:pPr>
        <w:numPr>
          <w:ilvl w:val="0"/>
          <w:numId w:val="3"/>
        </w:numPr>
        <w:tabs>
          <w:tab w:val="left" w:pos="0"/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>u eurima-</w:t>
      </w:r>
    </w:p>
    <w:tbl>
      <w:tblPr>
        <w:tblStyle w:val="Tablicapopisa4-isticanje11"/>
        <w:tblW w:w="9797" w:type="dxa"/>
        <w:jc w:val="center"/>
        <w:tblLook w:val="04A0" w:firstRow="1" w:lastRow="0" w:firstColumn="1" w:lastColumn="0" w:noHBand="0" w:noVBand="1"/>
      </w:tblPr>
      <w:tblGrid>
        <w:gridCol w:w="846"/>
        <w:gridCol w:w="4400"/>
        <w:gridCol w:w="1559"/>
        <w:gridCol w:w="1496"/>
        <w:gridCol w:w="1496"/>
      </w:tblGrid>
      <w:tr w:rsidR="00257154" w14:paraId="31E33646" w14:textId="77777777" w:rsidTr="00257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vAlign w:val="center"/>
          </w:tcPr>
          <w:p w14:paraId="5AA53B30" w14:textId="77777777" w:rsidR="00257154" w:rsidRDefault="00FD30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Konto</w:t>
            </w:r>
          </w:p>
        </w:tc>
        <w:tc>
          <w:tcPr>
            <w:tcW w:w="4400" w:type="dxa"/>
            <w:noWrap/>
            <w:vAlign w:val="center"/>
          </w:tcPr>
          <w:p w14:paraId="0FDC855F" w14:textId="77777777" w:rsidR="00257154" w:rsidRDefault="00FD30C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OPIS</w:t>
            </w:r>
          </w:p>
        </w:tc>
        <w:tc>
          <w:tcPr>
            <w:tcW w:w="1559" w:type="dxa"/>
            <w:noWrap/>
            <w:vAlign w:val="center"/>
          </w:tcPr>
          <w:p w14:paraId="19F53454" w14:textId="77777777" w:rsidR="00257154" w:rsidRDefault="00FD30C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PLAN 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496" w:type="dxa"/>
            <w:noWrap/>
            <w:vAlign w:val="center"/>
          </w:tcPr>
          <w:p w14:paraId="6EE5316F" w14:textId="77777777" w:rsidR="00257154" w:rsidRDefault="00FD30C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496" w:type="dxa"/>
            <w:noWrap/>
            <w:vAlign w:val="center"/>
          </w:tcPr>
          <w:p w14:paraId="69A674FE" w14:textId="77777777" w:rsidR="00257154" w:rsidRDefault="00FD30C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257154" w14:paraId="2E469C12" w14:textId="77777777" w:rsidTr="0025715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D9E2F3" w:themeFill="accent1" w:themeFillTint="33"/>
            <w:noWrap/>
          </w:tcPr>
          <w:p w14:paraId="74A5FAE3" w14:textId="77777777" w:rsidR="00257154" w:rsidRDefault="00FD30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400" w:type="dxa"/>
            <w:shd w:val="clear" w:color="auto" w:fill="D9E2F3" w:themeFill="accent1" w:themeFillTint="33"/>
            <w:noWrap/>
          </w:tcPr>
          <w:p w14:paraId="1E96C00B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Prihodi poslovanja</w:t>
            </w:r>
          </w:p>
        </w:tc>
        <w:tc>
          <w:tcPr>
            <w:tcW w:w="1559" w:type="dxa"/>
            <w:shd w:val="clear" w:color="auto" w:fill="D9E2F3" w:themeFill="accent1" w:themeFillTint="33"/>
            <w:noWrap/>
            <w:vAlign w:val="bottom"/>
          </w:tcPr>
          <w:p w14:paraId="185216ED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3.062.000,00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  <w:vAlign w:val="bottom"/>
          </w:tcPr>
          <w:p w14:paraId="20464D07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2.903.000,00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  <w:vAlign w:val="bottom"/>
          </w:tcPr>
          <w:p w14:paraId="4405D198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2.988.500,00</w:t>
            </w:r>
          </w:p>
        </w:tc>
      </w:tr>
      <w:tr w:rsidR="00257154" w14:paraId="2E167498" w14:textId="77777777" w:rsidTr="0025715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5DE2EEF" w14:textId="77777777" w:rsidR="00257154" w:rsidRDefault="00FD30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4400" w:type="dxa"/>
          </w:tcPr>
          <w:p w14:paraId="17BB8335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Prihodi od poreza</w:t>
            </w:r>
          </w:p>
        </w:tc>
        <w:tc>
          <w:tcPr>
            <w:tcW w:w="1559" w:type="dxa"/>
            <w:vAlign w:val="bottom"/>
          </w:tcPr>
          <w:p w14:paraId="0FA54FD0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en-US" w:eastAsia="zh-CN" w:bidi="ar"/>
              </w:rPr>
              <w:t>1.549.900,00</w:t>
            </w:r>
          </w:p>
        </w:tc>
        <w:tc>
          <w:tcPr>
            <w:tcW w:w="1496" w:type="dxa"/>
            <w:vAlign w:val="bottom"/>
          </w:tcPr>
          <w:p w14:paraId="53F3A3F2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en-US" w:eastAsia="zh-CN" w:bidi="ar"/>
              </w:rPr>
              <w:t>1.867.100,00</w:t>
            </w:r>
          </w:p>
        </w:tc>
        <w:tc>
          <w:tcPr>
            <w:tcW w:w="1496" w:type="dxa"/>
            <w:vAlign w:val="bottom"/>
          </w:tcPr>
          <w:p w14:paraId="44E55C65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en-US" w:eastAsia="zh-CN" w:bidi="ar"/>
              </w:rPr>
              <w:t>1.964.600,00</w:t>
            </w:r>
          </w:p>
        </w:tc>
      </w:tr>
      <w:tr w:rsidR="00257154" w14:paraId="77A69664" w14:textId="77777777" w:rsidTr="00257154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D9E2F3" w:themeFill="accent1" w:themeFillTint="33"/>
          </w:tcPr>
          <w:p w14:paraId="2E83C642" w14:textId="77777777" w:rsidR="00257154" w:rsidRDefault="00FD30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4400" w:type="dxa"/>
            <w:shd w:val="clear" w:color="auto" w:fill="D9E2F3" w:themeFill="accent1" w:themeFillTint="33"/>
          </w:tcPr>
          <w:p w14:paraId="1059A00E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Pomoći iz inozemstva i od subjekata unutar općeg proračuna </w:t>
            </w:r>
          </w:p>
        </w:tc>
        <w:tc>
          <w:tcPr>
            <w:tcW w:w="1559" w:type="dxa"/>
            <w:shd w:val="clear" w:color="auto" w:fill="D9E2F3" w:themeFill="accent1" w:themeFillTint="33"/>
            <w:vAlign w:val="bottom"/>
          </w:tcPr>
          <w:p w14:paraId="595DF6E7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730.000,00</w:t>
            </w:r>
          </w:p>
        </w:tc>
        <w:tc>
          <w:tcPr>
            <w:tcW w:w="1496" w:type="dxa"/>
            <w:shd w:val="clear" w:color="auto" w:fill="D9E2F3" w:themeFill="accent1" w:themeFillTint="33"/>
            <w:vAlign w:val="bottom"/>
          </w:tcPr>
          <w:p w14:paraId="04D5D024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187.000,00</w:t>
            </w:r>
          </w:p>
        </w:tc>
        <w:tc>
          <w:tcPr>
            <w:tcW w:w="1496" w:type="dxa"/>
            <w:shd w:val="clear" w:color="auto" w:fill="D9E2F3" w:themeFill="accent1" w:themeFillTint="33"/>
            <w:vAlign w:val="bottom"/>
          </w:tcPr>
          <w:p w14:paraId="199EAEDA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162.000,00</w:t>
            </w:r>
          </w:p>
        </w:tc>
      </w:tr>
      <w:tr w:rsidR="00257154" w14:paraId="16BD67F7" w14:textId="77777777" w:rsidTr="0025715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CE4792E" w14:textId="77777777" w:rsidR="00257154" w:rsidRDefault="00FD30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4400" w:type="dxa"/>
          </w:tcPr>
          <w:p w14:paraId="7409C77A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Prihodi od imovine</w:t>
            </w:r>
          </w:p>
        </w:tc>
        <w:tc>
          <w:tcPr>
            <w:tcW w:w="1559" w:type="dxa"/>
            <w:vAlign w:val="bottom"/>
          </w:tcPr>
          <w:p w14:paraId="3636977F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79.800,00</w:t>
            </w:r>
          </w:p>
        </w:tc>
        <w:tc>
          <w:tcPr>
            <w:tcW w:w="1496" w:type="dxa"/>
            <w:noWrap/>
            <w:vAlign w:val="bottom"/>
          </w:tcPr>
          <w:p w14:paraId="675EA67F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74.800,00</w:t>
            </w:r>
          </w:p>
        </w:tc>
        <w:tc>
          <w:tcPr>
            <w:tcW w:w="1496" w:type="dxa"/>
            <w:noWrap/>
            <w:vAlign w:val="bottom"/>
          </w:tcPr>
          <w:p w14:paraId="35263B4A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77.800,00</w:t>
            </w:r>
          </w:p>
        </w:tc>
      </w:tr>
      <w:tr w:rsidR="00257154" w14:paraId="4F6B9281" w14:textId="77777777" w:rsidTr="00257154">
        <w:trPr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D9E2F3" w:themeFill="accent1" w:themeFillTint="33"/>
          </w:tcPr>
          <w:p w14:paraId="7B4A3FA6" w14:textId="77777777" w:rsidR="00257154" w:rsidRDefault="00FD30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4400" w:type="dxa"/>
            <w:shd w:val="clear" w:color="auto" w:fill="D9E2F3" w:themeFill="accent1" w:themeFillTint="33"/>
          </w:tcPr>
          <w:p w14:paraId="6A78CA19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Prihodi od upravnih i administrativnih pristojbi, pristojbi po posebnim propisima i naknada </w:t>
            </w:r>
          </w:p>
        </w:tc>
        <w:tc>
          <w:tcPr>
            <w:tcW w:w="1559" w:type="dxa"/>
            <w:shd w:val="clear" w:color="auto" w:fill="D9E2F3" w:themeFill="accent1" w:themeFillTint="33"/>
            <w:vAlign w:val="bottom"/>
          </w:tcPr>
          <w:p w14:paraId="36EE1898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702.300,00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  <w:vAlign w:val="bottom"/>
          </w:tcPr>
          <w:p w14:paraId="67324E31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774.100,00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  <w:vAlign w:val="bottom"/>
          </w:tcPr>
          <w:p w14:paraId="0FEE98E0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784.100,00</w:t>
            </w:r>
          </w:p>
        </w:tc>
      </w:tr>
      <w:tr w:rsidR="00257154" w14:paraId="3F515078" w14:textId="77777777" w:rsidTr="0025715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6CE0437D" w14:textId="77777777" w:rsidR="00257154" w:rsidRDefault="00FD30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400" w:type="dxa"/>
            <w:noWrap/>
          </w:tcPr>
          <w:p w14:paraId="728A1070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Prihodi od prodaje nefinancijske imovine</w:t>
            </w:r>
          </w:p>
        </w:tc>
        <w:tc>
          <w:tcPr>
            <w:tcW w:w="1559" w:type="dxa"/>
            <w:noWrap/>
            <w:vAlign w:val="bottom"/>
          </w:tcPr>
          <w:p w14:paraId="35A5869C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190.000,00</w:t>
            </w:r>
          </w:p>
        </w:tc>
        <w:tc>
          <w:tcPr>
            <w:tcW w:w="1496" w:type="dxa"/>
            <w:noWrap/>
            <w:vAlign w:val="bottom"/>
          </w:tcPr>
          <w:p w14:paraId="2A29D422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509.000,00</w:t>
            </w:r>
          </w:p>
        </w:tc>
        <w:tc>
          <w:tcPr>
            <w:tcW w:w="1496" w:type="dxa"/>
            <w:noWrap/>
            <w:vAlign w:val="bottom"/>
          </w:tcPr>
          <w:p w14:paraId="21BBDE71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491.500,00</w:t>
            </w:r>
          </w:p>
        </w:tc>
      </w:tr>
      <w:tr w:rsidR="00257154" w14:paraId="7AF83194" w14:textId="77777777" w:rsidTr="00257154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D9E2F3" w:themeFill="accent1" w:themeFillTint="33"/>
          </w:tcPr>
          <w:p w14:paraId="2D88E702" w14:textId="77777777" w:rsidR="00257154" w:rsidRDefault="00FD30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4400" w:type="dxa"/>
            <w:shd w:val="clear" w:color="auto" w:fill="D9E2F3" w:themeFill="accent1" w:themeFillTint="33"/>
          </w:tcPr>
          <w:p w14:paraId="78130247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Prihodi od prodaje ne proizvedene dugotrajne imovine</w:t>
            </w:r>
          </w:p>
        </w:tc>
        <w:tc>
          <w:tcPr>
            <w:tcW w:w="1559" w:type="dxa"/>
            <w:shd w:val="clear" w:color="auto" w:fill="D9E2F3" w:themeFill="accent1" w:themeFillTint="33"/>
            <w:vAlign w:val="bottom"/>
          </w:tcPr>
          <w:p w14:paraId="0C4B53BC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3.500,00</w:t>
            </w:r>
          </w:p>
        </w:tc>
        <w:tc>
          <w:tcPr>
            <w:tcW w:w="1496" w:type="dxa"/>
            <w:shd w:val="clear" w:color="auto" w:fill="D9E2F3" w:themeFill="accent1" w:themeFillTint="33"/>
            <w:vAlign w:val="bottom"/>
          </w:tcPr>
          <w:p w14:paraId="40D8032D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253.500,00</w:t>
            </w:r>
          </w:p>
        </w:tc>
        <w:tc>
          <w:tcPr>
            <w:tcW w:w="1496" w:type="dxa"/>
            <w:shd w:val="clear" w:color="auto" w:fill="D9E2F3" w:themeFill="accent1" w:themeFillTint="33"/>
            <w:vAlign w:val="bottom"/>
          </w:tcPr>
          <w:p w14:paraId="39FEB1CF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253.500,00</w:t>
            </w:r>
          </w:p>
        </w:tc>
      </w:tr>
      <w:tr w:rsidR="00257154" w14:paraId="3F0900A7" w14:textId="77777777" w:rsidTr="00257154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E9303BD" w14:textId="77777777" w:rsidR="00257154" w:rsidRDefault="00FD30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4400" w:type="dxa"/>
          </w:tcPr>
          <w:p w14:paraId="09031EA3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Prihodi od prodaje proizvedene dugotrajne imovine</w:t>
            </w:r>
          </w:p>
        </w:tc>
        <w:tc>
          <w:tcPr>
            <w:tcW w:w="1559" w:type="dxa"/>
            <w:vAlign w:val="bottom"/>
          </w:tcPr>
          <w:p w14:paraId="57BB16CD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186.500,00</w:t>
            </w:r>
          </w:p>
        </w:tc>
        <w:tc>
          <w:tcPr>
            <w:tcW w:w="1496" w:type="dxa"/>
            <w:vAlign w:val="bottom"/>
          </w:tcPr>
          <w:p w14:paraId="3F668A2B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255.500,00</w:t>
            </w:r>
          </w:p>
        </w:tc>
        <w:tc>
          <w:tcPr>
            <w:tcW w:w="1496" w:type="dxa"/>
            <w:vAlign w:val="bottom"/>
          </w:tcPr>
          <w:p w14:paraId="5BCF6956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238.000,00</w:t>
            </w:r>
          </w:p>
        </w:tc>
      </w:tr>
      <w:tr w:rsidR="00257154" w14:paraId="20DD5047" w14:textId="77777777" w:rsidTr="00257154">
        <w:trPr>
          <w:trHeight w:val="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2"/>
            <w:shd w:val="clear" w:color="auto" w:fill="D9E2F3" w:themeFill="accent1" w:themeFillTint="33"/>
          </w:tcPr>
          <w:p w14:paraId="576ADC89" w14:textId="77777777" w:rsidR="00257154" w:rsidRDefault="00FD30C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4" w:name="_Hlk89431450"/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UKUPNO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99B53C1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3.252.000,00</w:t>
            </w:r>
          </w:p>
        </w:tc>
        <w:tc>
          <w:tcPr>
            <w:tcW w:w="1496" w:type="dxa"/>
            <w:shd w:val="clear" w:color="auto" w:fill="D9E2F3" w:themeFill="accent1" w:themeFillTint="33"/>
          </w:tcPr>
          <w:p w14:paraId="16E8E0BE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3.412.000,00</w:t>
            </w:r>
          </w:p>
        </w:tc>
        <w:tc>
          <w:tcPr>
            <w:tcW w:w="1496" w:type="dxa"/>
            <w:shd w:val="clear" w:color="auto" w:fill="D9E2F3" w:themeFill="accent1" w:themeFillTint="33"/>
          </w:tcPr>
          <w:p w14:paraId="7F029364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3.480.000,00</w:t>
            </w:r>
          </w:p>
        </w:tc>
      </w:tr>
      <w:bookmarkEnd w:id="4"/>
    </w:tbl>
    <w:p w14:paraId="655D6B76" w14:textId="77777777" w:rsidR="00257154" w:rsidRDefault="0025715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BF08C7F" w14:textId="77777777" w:rsidR="00257154" w:rsidRDefault="00257154">
      <w:pPr>
        <w:rPr>
          <w:rFonts w:ascii="Times New Roman" w:hAnsi="Times New Roman" w:cs="Times New Roman"/>
          <w:b/>
          <w:kern w:val="0"/>
          <w:sz w:val="24"/>
          <w14:ligatures w14:val="none"/>
        </w:rPr>
      </w:pPr>
    </w:p>
    <w:p w14:paraId="664ABCED" w14:textId="77777777" w:rsidR="00257154" w:rsidRDefault="00FD30CF">
      <w:pPr>
        <w:rPr>
          <w:rFonts w:cstheme="minorHAnsi"/>
          <w:sz w:val="44"/>
          <w:szCs w:val="44"/>
        </w:rPr>
      </w:pPr>
      <w:r>
        <w:rPr>
          <w:rFonts w:ascii="Times New Roman" w:hAnsi="Times New Roman" w:cs="Times New Roman"/>
          <w:b/>
          <w:kern w:val="0"/>
          <w:sz w:val="24"/>
          <w14:ligatures w14:val="none"/>
        </w:rPr>
        <w:t>PRIHODI POSLOVANJA</w:t>
      </w:r>
    </w:p>
    <w:p w14:paraId="5C3EB34D" w14:textId="77777777" w:rsidR="00257154" w:rsidRDefault="00FD30C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Ukupni prihodi poslovanja u 202</w:t>
      </w:r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planirani su u iznosu od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3.062.000,00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Udio pojedinih prihoda u strukturi prihoda poslovanja iznosi:</w:t>
      </w:r>
    </w:p>
    <w:p w14:paraId="6C717DB1" w14:textId="77777777" w:rsidR="00257154" w:rsidRDefault="00FD30C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prihodi od poreza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  <w:t>50,62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58EFDEA5" w14:textId="77777777" w:rsidR="00257154" w:rsidRDefault="00FD30C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pomoći iz inozemstva i od subjekata unutar općeg proračuna </w:t>
      </w:r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23,84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053D36CA" w14:textId="77777777" w:rsidR="00257154" w:rsidRDefault="00FD30C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prihodi od imovine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  <w:t xml:space="preserve">2,60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% </w:t>
      </w:r>
    </w:p>
    <w:p w14:paraId="186B8481" w14:textId="77777777" w:rsidR="00257154" w:rsidRDefault="00FD30C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prihod od upravnih i administrativnih pristojbi, pristojbi po posebnim propisima i naknada </w:t>
      </w:r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22,94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6FC70747" w14:textId="77777777" w:rsidR="00257154" w:rsidRDefault="002571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16F1465" w14:textId="77777777" w:rsidR="00257154" w:rsidRDefault="00FD30CF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ab/>
        <w:t xml:space="preserve">Kroz projekcije za slijedeće dvije godine ukupni prihodi poslovanja planirani su u iznosima od 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>2.903.000,00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za 2027. godinu, odnosno 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2.988.500,00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za 2028. godinu. </w:t>
      </w:r>
    </w:p>
    <w:p w14:paraId="5D6E4C38" w14:textId="77777777" w:rsidR="00257154" w:rsidRDefault="002571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B6EDEE7" w14:textId="77777777" w:rsidR="00257154" w:rsidRDefault="00FD30CF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Najznačajniji prihodi proračuna unutar skupine prihoda poslovanja su: prihodi od poreza, pomoći iz inozemstva i od subjekata unutar općeg proračuna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, prihodi od upravnih i administrativnih pristojbi, pristojbi po posebnim propisima i naknadama,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te prihodi od imovine. </w:t>
      </w:r>
    </w:p>
    <w:p w14:paraId="176A269A" w14:textId="77777777" w:rsidR="00257154" w:rsidRDefault="002571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E579DF6" w14:textId="77777777" w:rsidR="00257154" w:rsidRDefault="00FD30C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Prihodi od poreza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su jedan od najznačajnijih izvora financiranja proračuna te njihov plan u 202</w:t>
      </w:r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iznosi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1.549.900,00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što je za </w:t>
      </w:r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0,19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 </w:t>
      </w:r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manje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odnosu na plan prethodne, 202</w:t>
      </w:r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godine,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planirani su u skladu sa kretanjem istih u devet mjeseci 202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godine, trendovima ostvarenima 202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 u odnosu na 202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godinu, te makroekonomskim pokazateljima.</w:t>
      </w:r>
    </w:p>
    <w:p w14:paraId="6253D329" w14:textId="77777777" w:rsidR="00257154" w:rsidRDefault="0025715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4D8C235" w14:textId="77777777" w:rsidR="00257154" w:rsidRDefault="00FD30C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hr-HR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  <w14:ligatures w14:val="none"/>
        </w:rPr>
        <w:t>Prihodi s osnove upravnih i administrativnih pristojbi, pristojbi po posebnim propisima i naknada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u 202</w:t>
      </w:r>
      <w:r w:rsidRPr="00B3424D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. godini planirani su u iznosu od </w:t>
      </w:r>
      <w:r w:rsidRPr="00B3424D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702.300,00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, dok projekcija za 202</w:t>
      </w:r>
      <w:r w:rsidRPr="00B3424D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7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. godinu iznosi </w:t>
      </w:r>
      <w:r w:rsidRPr="00B3424D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774.100,00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, a 202</w:t>
      </w:r>
      <w:r w:rsidRPr="00B3424D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. godine </w:t>
      </w:r>
      <w:r w:rsidRPr="00B3424D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784.100,00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. Prihodi se odnose na prihode od prodaje pristojbi i državnih biljega, ostalih pristojbi i naknada, s osnove </w:t>
      </w:r>
      <w:r w:rsidRPr="00B3424D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prihoda vodnog gospodarstva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, ostalih nespomenutih prihoda te s osnove komunalnog doprinosa i naknada. </w:t>
      </w:r>
    </w:p>
    <w:p w14:paraId="4A9F3DD3" w14:textId="77777777" w:rsidR="00257154" w:rsidRDefault="0025715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A13A7EF" w14:textId="77777777" w:rsidR="00257154" w:rsidRDefault="00FD30CF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Prihodi od pomoći iz inozemstva i od subjekata unutar općeg proračuna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najvećim dijelom odnose se na sredstva iz državnog proračuna i temeljem prijenosa EU sredstava. Ukupno planirani prihodi od pomoći u 2026. godini iznose </w:t>
      </w: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730.000,00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u 2027. godini 187.000,00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 u 2028. godini 162.000,00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</w:p>
    <w:p w14:paraId="3F1E6553" w14:textId="77777777" w:rsidR="00257154" w:rsidRDefault="00257154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14:ligatures w14:val="none"/>
        </w:rPr>
      </w:pPr>
    </w:p>
    <w:p w14:paraId="0C21F167" w14:textId="77777777" w:rsidR="00257154" w:rsidRDefault="00257154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14:ligatures w14:val="none"/>
        </w:rPr>
      </w:pPr>
    </w:p>
    <w:p w14:paraId="0D36C481" w14:textId="77777777" w:rsidR="00257154" w:rsidRDefault="00FD30CF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Prihodi od imovine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obuhvaćaju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prihode od kamata na oročena sredstva i depozite po viđenju te zateznih kamata, prihode s osnove naknada za koncesije, zakupa i iznajmljivanja imovine, naknada za korištenje nefinancijske imovine i ostalih prihoda od nefinancijske imovine.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Ovi prihodi dijelom se prikupljaju na redovnoj bazi, a dijelom kao jednokratni prihodi. Za 2026. godinu planirani su u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iznosu od 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>79.800,00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dok projekcija za 2027. godinu iznosi 74.800,00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a za 2028. godinu iznosi 77.800,00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091D324D" w14:textId="77777777" w:rsidR="00257154" w:rsidRDefault="00257154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01F789B" w14:textId="77777777" w:rsidR="00257154" w:rsidRDefault="00257154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262BAD6" w14:textId="77777777" w:rsidR="00257154" w:rsidRDefault="00257154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0A66620" w14:textId="77777777" w:rsidR="00257154" w:rsidRDefault="00257154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AA8D748" w14:textId="77777777" w:rsidR="00257154" w:rsidRDefault="00257154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A57B028" w14:textId="77777777" w:rsidR="00257154" w:rsidRDefault="00257154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10DE7EB" w14:textId="77777777" w:rsidR="00257154" w:rsidRDefault="00257154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D86DFBC" w14:textId="77777777" w:rsidR="00257154" w:rsidRDefault="00257154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A42266F" w14:textId="77777777" w:rsidR="00257154" w:rsidRDefault="00257154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6C942D1" w14:textId="77777777" w:rsidR="00257154" w:rsidRDefault="00257154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2154B9B" w14:textId="77777777" w:rsidR="00257154" w:rsidRDefault="00257154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6024091" w14:textId="77777777" w:rsidR="00257154" w:rsidRDefault="00257154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F73CA8D" w14:textId="77777777" w:rsidR="00257154" w:rsidRDefault="00257154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82E4ED3" w14:textId="77777777" w:rsidR="00257154" w:rsidRDefault="00257154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392D90F" w14:textId="7EBB7495" w:rsidR="00257154" w:rsidRDefault="00FD30CF">
      <w:pPr>
        <w:spacing w:after="0"/>
        <w:jc w:val="both"/>
        <w:rPr>
          <w:rFonts w:ascii="Times New Roman" w:hAnsi="Times New Roman" w:cs="Times New Roman"/>
          <w:i/>
          <w:iCs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lastRenderedPageBreak/>
        <w:t xml:space="preserve">Grafikon 1. Struktura planiranih prihoda poslovanja u ukupnim planiranim prihodima poslovanja Proračuna </w:t>
      </w:r>
      <w:r w:rsidRPr="00B342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Općine </w:t>
      </w:r>
      <w:proofErr w:type="spellStart"/>
      <w:r w:rsidRPr="00B342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Kaštelir</w:t>
      </w:r>
      <w:proofErr w:type="spellEnd"/>
      <w:r w:rsidRPr="00B342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– Labinci -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Castelliere</w:t>
      </w:r>
      <w:proofErr w:type="spellEnd"/>
      <w:r w:rsidRPr="00B342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-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S. Domenica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za 202</w:t>
      </w:r>
      <w:r w:rsidRPr="00B342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. godinu </w:t>
      </w:r>
    </w:p>
    <w:p w14:paraId="339DD736" w14:textId="77777777" w:rsidR="00257154" w:rsidRDefault="00FD30CF">
      <w:pPr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br w:type="textWrapping" w:clear="all"/>
      </w:r>
    </w:p>
    <w:p w14:paraId="49560663" w14:textId="77777777" w:rsidR="00257154" w:rsidRDefault="00FD30CF">
      <w:pPr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114300" distR="114300" wp14:anchorId="19412178" wp14:editId="72ADB702">
            <wp:extent cx="5754370" cy="3569970"/>
            <wp:effectExtent l="0" t="0" r="6350" b="11430"/>
            <wp:docPr id="2" name="Picture 2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icture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356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FE0A8" w14:textId="77777777" w:rsidR="00257154" w:rsidRDefault="00257154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19A3498" w14:textId="77777777" w:rsidR="00257154" w:rsidRDefault="00257154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3E08176" w14:textId="77777777" w:rsidR="00257154" w:rsidRDefault="00257154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6D36854" w14:textId="77777777" w:rsidR="00257154" w:rsidRDefault="00FD30CF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PRIHODI OD PRODAJE NEFINANCIJSKE IMOVINE </w:t>
      </w:r>
    </w:p>
    <w:p w14:paraId="37563DE6" w14:textId="77777777" w:rsidR="00257154" w:rsidRDefault="00257154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291832A" w14:textId="77777777" w:rsidR="00257154" w:rsidRDefault="00FD30CF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U 2026. godini planirani su u iznosu </w:t>
      </w: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190.000,00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Najveći dio ovih prihoda odnosi se na prihode od prodaje proizvedene dugotrajne imovine. U 2027. godini ukupni prihodi od prodaje nefinancijske imovine projiciraju se u iznosu od 509.000,00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, a u 2028. godini u iznosu od 491.500,00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361973C" w14:textId="77777777" w:rsidR="00257154" w:rsidRDefault="00257154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1F39C62" w14:textId="77777777" w:rsidR="00257154" w:rsidRDefault="00257154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9C3464D" w14:textId="77777777" w:rsidR="00257154" w:rsidRDefault="00257154">
      <w:pPr>
        <w:rPr>
          <w:rFonts w:cstheme="minorHAnsi"/>
          <w:sz w:val="44"/>
          <w:szCs w:val="44"/>
        </w:rPr>
      </w:pPr>
    </w:p>
    <w:p w14:paraId="436CC4A0" w14:textId="77777777" w:rsidR="00257154" w:rsidRDefault="00FD30C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  <w:r>
        <w:rPr>
          <w:rFonts w:cstheme="minorHAnsi"/>
          <w:sz w:val="44"/>
          <w:szCs w:val="44"/>
        </w:rPr>
        <w:br w:type="page"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lastRenderedPageBreak/>
        <w:t xml:space="preserve">RASHODI PLANA PRORAČUNA </w:t>
      </w:r>
      <w:r w:rsidRPr="00B3424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OPĆINE </w:t>
      </w:r>
      <w:r>
        <w:rPr>
          <w:rFonts w:ascii="Times New Roman" w:hAnsi="Times New Roman" w:cs="Times New Roman"/>
          <w:b/>
          <w:kern w:val="0"/>
          <w:sz w:val="24"/>
          <w14:ligatures w14:val="none"/>
        </w:rPr>
        <w:t>KAŠTELIR - LABINCI</w:t>
      </w:r>
    </w:p>
    <w:p w14:paraId="3EC000FF" w14:textId="277B43BA" w:rsidR="00257154" w:rsidRDefault="00FD30CF">
      <w:pPr>
        <w:spacing w:after="0"/>
        <w:ind w:left="360"/>
        <w:contextualSpacing/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14:ligatures w14:val="none"/>
        </w:rPr>
        <w:t xml:space="preserve">      CASTELLIERE</w:t>
      </w:r>
      <w:r>
        <w:rPr>
          <w:rFonts w:ascii="Times New Roman" w:hAnsi="Times New Roman" w:cs="Times New Roman"/>
          <w:b/>
          <w:kern w:val="0"/>
          <w:sz w:val="24"/>
          <w14:ligatures w14:val="none"/>
        </w:rPr>
        <w:t xml:space="preserve"> - S. DOMENICA</w:t>
      </w:r>
    </w:p>
    <w:p w14:paraId="66F30C6D" w14:textId="77777777" w:rsidR="00257154" w:rsidRDefault="0025715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530B0FB" w14:textId="77777777" w:rsidR="00257154" w:rsidRDefault="00FD30C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Planirani iznos rashoda i izdataka proračuna za 202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raspodijeljen je na način da planirani rashodi poslovanja iznose </w:t>
      </w:r>
      <w:r w:rsidRPr="00B3424D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2.943.100,00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ili 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49,04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% ukupnih rashoda i izdataka, rashodi za nabavu nefinancijske imovine iznose 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3.033.500,00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ili 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50,54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%, te izdaci za financijsku imovinu i otplate zajmova iznose 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25.400,00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ili 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0,42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%</w:t>
      </w:r>
    </w:p>
    <w:p w14:paraId="08023892" w14:textId="77777777" w:rsidR="00257154" w:rsidRDefault="00FD30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Rashodi i izdaci, planirani su u skladu sa stvarnim potrebama svih segmenata koje 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ima obvezu financijski pratiti, odnosno prema mogućnostima prihoda proračuna.</w:t>
      </w:r>
    </w:p>
    <w:p w14:paraId="5840F308" w14:textId="77777777" w:rsidR="00257154" w:rsidRDefault="00FD30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Kao i kod prihodovne strane, tako i na rashodovnoj strani proračuna prikazuju se ukupni rashodi proračunskih korisnika.</w:t>
      </w:r>
    </w:p>
    <w:p w14:paraId="4EB86A5F" w14:textId="77777777" w:rsidR="00257154" w:rsidRDefault="00257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3D5B101" w14:textId="00EFE595" w:rsidR="00257154" w:rsidRDefault="00FD30CF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14:ligatures w14:val="none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4"/>
          <w14:ligatures w14:val="none"/>
        </w:rPr>
        <w:t xml:space="preserve">Tablica 3. Planirani rashodi Proračuna </w:t>
      </w:r>
      <w:r w:rsidRPr="00B342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Općine </w:t>
      </w:r>
      <w:proofErr w:type="spellStart"/>
      <w:r w:rsidRPr="00B342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Kaštelir</w:t>
      </w:r>
      <w:proofErr w:type="spellEnd"/>
      <w:r w:rsidRPr="00B342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– Labinci -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Castelliere</w:t>
      </w:r>
      <w:proofErr w:type="spellEnd"/>
      <w:r w:rsidRPr="00B342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-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S. Domenica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za razdoblje od 202</w:t>
      </w:r>
      <w:r w:rsidRPr="00B342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 - 202</w:t>
      </w:r>
      <w:r w:rsidRPr="00B342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. godine </w:t>
      </w:r>
      <w:r>
        <w:rPr>
          <w:rFonts w:ascii="Times New Roman" w:hAnsi="Times New Roman" w:cs="Times New Roman"/>
          <w:i/>
          <w:iCs/>
          <w:color w:val="000000"/>
          <w:kern w:val="0"/>
          <w:sz w:val="24"/>
          <w14:ligatures w14:val="none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 xml:space="preserve">   </w:t>
      </w:r>
    </w:p>
    <w:p w14:paraId="07F43BD3" w14:textId="77777777" w:rsidR="00257154" w:rsidRDefault="00257154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14:ligatures w14:val="none"/>
        </w:rPr>
      </w:pPr>
    </w:p>
    <w:p w14:paraId="3FA7B391" w14:textId="77777777" w:rsidR="00257154" w:rsidRDefault="00FD30CF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bookmarkStart w:id="5" w:name="_Hlk150758653"/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>-u eurima -</w:t>
      </w:r>
      <w:bookmarkEnd w:id="5"/>
    </w:p>
    <w:tbl>
      <w:tblPr>
        <w:tblStyle w:val="Tablicapopisa4-isticanje11"/>
        <w:tblW w:w="10034" w:type="dxa"/>
        <w:jc w:val="center"/>
        <w:tblLook w:val="04A0" w:firstRow="1" w:lastRow="0" w:firstColumn="1" w:lastColumn="0" w:noHBand="0" w:noVBand="1"/>
      </w:tblPr>
      <w:tblGrid>
        <w:gridCol w:w="1083"/>
        <w:gridCol w:w="4400"/>
        <w:gridCol w:w="1559"/>
        <w:gridCol w:w="1496"/>
        <w:gridCol w:w="1496"/>
      </w:tblGrid>
      <w:tr w:rsidR="00257154" w14:paraId="3ADF4267" w14:textId="77777777" w:rsidTr="00257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vAlign w:val="center"/>
          </w:tcPr>
          <w:p w14:paraId="1FA09812" w14:textId="77777777" w:rsidR="00257154" w:rsidRDefault="00FD30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Konto</w:t>
            </w:r>
          </w:p>
        </w:tc>
        <w:tc>
          <w:tcPr>
            <w:tcW w:w="4400" w:type="dxa"/>
            <w:noWrap/>
            <w:vAlign w:val="center"/>
          </w:tcPr>
          <w:p w14:paraId="6EF6AE92" w14:textId="77777777" w:rsidR="00257154" w:rsidRDefault="00FD30C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OPIS</w:t>
            </w:r>
          </w:p>
        </w:tc>
        <w:tc>
          <w:tcPr>
            <w:tcW w:w="1559" w:type="dxa"/>
            <w:noWrap/>
            <w:vAlign w:val="center"/>
          </w:tcPr>
          <w:p w14:paraId="0894148C" w14:textId="77777777" w:rsidR="00257154" w:rsidRDefault="00FD30C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PLAN 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496" w:type="dxa"/>
            <w:noWrap/>
            <w:vAlign w:val="center"/>
          </w:tcPr>
          <w:p w14:paraId="33E4FBED" w14:textId="77777777" w:rsidR="00257154" w:rsidRDefault="00FD30C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496" w:type="dxa"/>
            <w:noWrap/>
            <w:vAlign w:val="center"/>
          </w:tcPr>
          <w:p w14:paraId="72A18E5C" w14:textId="77777777" w:rsidR="00257154" w:rsidRDefault="00FD30C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257154" w14:paraId="4C854F6E" w14:textId="77777777" w:rsidTr="0025715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shd w:val="clear" w:color="auto" w:fill="D9E2F3" w:themeFill="accent1" w:themeFillTint="33"/>
            <w:noWrap/>
          </w:tcPr>
          <w:p w14:paraId="22034150" w14:textId="77777777" w:rsidR="00257154" w:rsidRDefault="00FD30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400" w:type="dxa"/>
            <w:shd w:val="clear" w:color="auto" w:fill="D9E2F3" w:themeFill="accent1" w:themeFillTint="33"/>
            <w:noWrap/>
          </w:tcPr>
          <w:p w14:paraId="71ED5002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</w:t>
            </w:r>
            <w:r>
              <w:rPr>
                <w:b/>
                <w:bCs/>
                <w:kern w:val="0"/>
                <w:sz w:val="20"/>
                <w:szCs w:val="20"/>
                <w14:ligatures w14:val="none"/>
              </w:rPr>
              <w:t>ashodi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poslovanja</w:t>
            </w:r>
          </w:p>
        </w:tc>
        <w:tc>
          <w:tcPr>
            <w:tcW w:w="1559" w:type="dxa"/>
            <w:shd w:val="clear" w:color="auto" w:fill="D9E2F3" w:themeFill="accent1" w:themeFillTint="33"/>
            <w:noWrap/>
            <w:vAlign w:val="bottom"/>
          </w:tcPr>
          <w:p w14:paraId="3823548A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2.943.100,00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  <w:vAlign w:val="bottom"/>
          </w:tcPr>
          <w:p w14:paraId="3E6EF6B1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2.610.100,00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  <w:vAlign w:val="bottom"/>
          </w:tcPr>
          <w:p w14:paraId="41FAC5DC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2.620.600,00</w:t>
            </w:r>
          </w:p>
        </w:tc>
      </w:tr>
      <w:tr w:rsidR="00257154" w14:paraId="2D7D7571" w14:textId="77777777" w:rsidTr="0025715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14:paraId="314505E1" w14:textId="77777777" w:rsidR="00257154" w:rsidRDefault="00FD30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400" w:type="dxa"/>
          </w:tcPr>
          <w:p w14:paraId="3FFF5730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Rashodi za zaposlene</w:t>
            </w:r>
          </w:p>
        </w:tc>
        <w:tc>
          <w:tcPr>
            <w:tcW w:w="1559" w:type="dxa"/>
            <w:vAlign w:val="bottom"/>
          </w:tcPr>
          <w:p w14:paraId="41C0AD18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214.500,00</w:t>
            </w:r>
          </w:p>
        </w:tc>
        <w:tc>
          <w:tcPr>
            <w:tcW w:w="1496" w:type="dxa"/>
            <w:vAlign w:val="bottom"/>
          </w:tcPr>
          <w:p w14:paraId="17BD57B3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214.500,00</w:t>
            </w:r>
          </w:p>
        </w:tc>
        <w:tc>
          <w:tcPr>
            <w:tcW w:w="1496" w:type="dxa"/>
            <w:vAlign w:val="bottom"/>
          </w:tcPr>
          <w:p w14:paraId="55DA29AB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214.500,00</w:t>
            </w:r>
          </w:p>
        </w:tc>
      </w:tr>
      <w:tr w:rsidR="00257154" w14:paraId="14585C9C" w14:textId="77777777" w:rsidTr="00257154">
        <w:trPr>
          <w:trHeight w:val="2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shd w:val="clear" w:color="auto" w:fill="D9E2F3" w:themeFill="accent1" w:themeFillTint="33"/>
          </w:tcPr>
          <w:p w14:paraId="410F2E3E" w14:textId="77777777" w:rsidR="00257154" w:rsidRDefault="00FD30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4400" w:type="dxa"/>
            <w:shd w:val="clear" w:color="auto" w:fill="D9E2F3" w:themeFill="accent1" w:themeFillTint="33"/>
          </w:tcPr>
          <w:p w14:paraId="7E6DD138" w14:textId="77777777" w:rsidR="00257154" w:rsidRDefault="00FD30CF">
            <w:pPr>
              <w:tabs>
                <w:tab w:val="left" w:pos="3013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1559" w:type="dxa"/>
            <w:shd w:val="clear" w:color="auto" w:fill="D9E2F3" w:themeFill="accent1" w:themeFillTint="33"/>
            <w:vAlign w:val="bottom"/>
          </w:tcPr>
          <w:p w14:paraId="5600433C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1.714.300,00</w:t>
            </w:r>
          </w:p>
        </w:tc>
        <w:tc>
          <w:tcPr>
            <w:tcW w:w="1496" w:type="dxa"/>
            <w:shd w:val="clear" w:color="auto" w:fill="D9E2F3" w:themeFill="accent1" w:themeFillTint="33"/>
            <w:vAlign w:val="bottom"/>
          </w:tcPr>
          <w:p w14:paraId="6320323B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1.405.300,00</w:t>
            </w:r>
          </w:p>
        </w:tc>
        <w:tc>
          <w:tcPr>
            <w:tcW w:w="1496" w:type="dxa"/>
            <w:shd w:val="clear" w:color="auto" w:fill="D9E2F3" w:themeFill="accent1" w:themeFillTint="33"/>
            <w:vAlign w:val="bottom"/>
          </w:tcPr>
          <w:p w14:paraId="6533EEAD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1.410.800,00</w:t>
            </w:r>
          </w:p>
        </w:tc>
      </w:tr>
      <w:tr w:rsidR="00257154" w14:paraId="71BA971A" w14:textId="77777777" w:rsidTr="0025715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14:paraId="1CE58685" w14:textId="77777777" w:rsidR="00257154" w:rsidRDefault="00FD30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4400" w:type="dxa"/>
          </w:tcPr>
          <w:p w14:paraId="2C66587C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Financijski rashodi</w:t>
            </w:r>
          </w:p>
        </w:tc>
        <w:tc>
          <w:tcPr>
            <w:tcW w:w="1559" w:type="dxa"/>
            <w:vAlign w:val="bottom"/>
          </w:tcPr>
          <w:p w14:paraId="6D5D616A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10.700,00</w:t>
            </w:r>
          </w:p>
        </w:tc>
        <w:tc>
          <w:tcPr>
            <w:tcW w:w="1496" w:type="dxa"/>
            <w:noWrap/>
            <w:vAlign w:val="bottom"/>
          </w:tcPr>
          <w:p w14:paraId="326F0D94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10.700,00</w:t>
            </w:r>
          </w:p>
        </w:tc>
        <w:tc>
          <w:tcPr>
            <w:tcW w:w="1496" w:type="dxa"/>
            <w:noWrap/>
            <w:vAlign w:val="bottom"/>
          </w:tcPr>
          <w:p w14:paraId="6968BA29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10.700,00</w:t>
            </w:r>
          </w:p>
        </w:tc>
      </w:tr>
      <w:tr w:rsidR="00257154" w14:paraId="42D4A61B" w14:textId="77777777" w:rsidTr="0025715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14:paraId="1E43A2FA" w14:textId="77777777" w:rsidR="00257154" w:rsidRDefault="00FD30C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4400" w:type="dxa"/>
          </w:tcPr>
          <w:p w14:paraId="23D02544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Subvencije</w:t>
            </w:r>
          </w:p>
        </w:tc>
        <w:tc>
          <w:tcPr>
            <w:tcW w:w="1559" w:type="dxa"/>
            <w:vAlign w:val="bottom"/>
          </w:tcPr>
          <w:p w14:paraId="03327062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55.000,00</w:t>
            </w:r>
          </w:p>
        </w:tc>
        <w:tc>
          <w:tcPr>
            <w:tcW w:w="1496" w:type="dxa"/>
            <w:noWrap/>
            <w:vAlign w:val="bottom"/>
          </w:tcPr>
          <w:p w14:paraId="410E0870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55.000,00</w:t>
            </w:r>
          </w:p>
        </w:tc>
        <w:tc>
          <w:tcPr>
            <w:tcW w:w="1496" w:type="dxa"/>
            <w:noWrap/>
            <w:vAlign w:val="bottom"/>
          </w:tcPr>
          <w:p w14:paraId="52668A4E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55.000,00</w:t>
            </w:r>
          </w:p>
        </w:tc>
      </w:tr>
      <w:tr w:rsidR="00257154" w14:paraId="5C4C9C34" w14:textId="77777777" w:rsidTr="00257154">
        <w:trPr>
          <w:trHeight w:val="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14:paraId="72F5367E" w14:textId="77777777" w:rsidR="00257154" w:rsidRDefault="00FD30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4400" w:type="dxa"/>
          </w:tcPr>
          <w:p w14:paraId="44387410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vAlign w:val="bottom"/>
          </w:tcPr>
          <w:p w14:paraId="44C9600E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469.700,00</w:t>
            </w:r>
          </w:p>
        </w:tc>
        <w:tc>
          <w:tcPr>
            <w:tcW w:w="1496" w:type="dxa"/>
            <w:noWrap/>
            <w:vAlign w:val="bottom"/>
          </w:tcPr>
          <w:p w14:paraId="7C76D58B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472.700,00</w:t>
            </w:r>
          </w:p>
        </w:tc>
        <w:tc>
          <w:tcPr>
            <w:tcW w:w="1496" w:type="dxa"/>
            <w:noWrap/>
            <w:vAlign w:val="bottom"/>
          </w:tcPr>
          <w:p w14:paraId="75EB3B3D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472.700,00</w:t>
            </w:r>
          </w:p>
        </w:tc>
      </w:tr>
      <w:tr w:rsidR="00257154" w14:paraId="54C1CDE5" w14:textId="77777777" w:rsidTr="00257154">
        <w:trPr>
          <w:trHeight w:val="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shd w:val="clear" w:color="auto" w:fill="D9E2F3" w:themeFill="accent1" w:themeFillTint="33"/>
          </w:tcPr>
          <w:p w14:paraId="02115947" w14:textId="77777777" w:rsidR="00257154" w:rsidRDefault="00FD30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4400" w:type="dxa"/>
            <w:shd w:val="clear" w:color="auto" w:fill="D9E2F3" w:themeFill="accent1" w:themeFillTint="33"/>
          </w:tcPr>
          <w:p w14:paraId="6E9A98DC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shd w:val="clear" w:color="auto" w:fill="D9E2F3" w:themeFill="accent1" w:themeFillTint="33"/>
            <w:vAlign w:val="bottom"/>
          </w:tcPr>
          <w:p w14:paraId="3BE7263D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132.800,00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  <w:vAlign w:val="bottom"/>
          </w:tcPr>
          <w:p w14:paraId="2DB2B55F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132.800,00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  <w:vAlign w:val="bottom"/>
          </w:tcPr>
          <w:p w14:paraId="3BE4D4BB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137.800,00</w:t>
            </w:r>
          </w:p>
        </w:tc>
      </w:tr>
      <w:tr w:rsidR="00257154" w14:paraId="3605F97B" w14:textId="77777777" w:rsidTr="0025715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14:paraId="2A049A5E" w14:textId="77777777" w:rsidR="00257154" w:rsidRDefault="00FD30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4400" w:type="dxa"/>
          </w:tcPr>
          <w:p w14:paraId="0DA2C944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vAlign w:val="bottom"/>
          </w:tcPr>
          <w:p w14:paraId="390FE343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346.100,00</w:t>
            </w:r>
          </w:p>
        </w:tc>
        <w:tc>
          <w:tcPr>
            <w:tcW w:w="1496" w:type="dxa"/>
            <w:noWrap/>
            <w:vAlign w:val="bottom"/>
          </w:tcPr>
          <w:p w14:paraId="318E459A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319.100,00</w:t>
            </w:r>
          </w:p>
        </w:tc>
        <w:tc>
          <w:tcPr>
            <w:tcW w:w="1496" w:type="dxa"/>
            <w:noWrap/>
            <w:vAlign w:val="bottom"/>
          </w:tcPr>
          <w:p w14:paraId="3A10EAA1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319.100,00</w:t>
            </w:r>
          </w:p>
        </w:tc>
      </w:tr>
      <w:tr w:rsidR="00257154" w14:paraId="11FF4674" w14:textId="77777777" w:rsidTr="00257154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shd w:val="clear" w:color="auto" w:fill="D9E2F3" w:themeFill="accent1" w:themeFillTint="33"/>
          </w:tcPr>
          <w:p w14:paraId="1E40B91B" w14:textId="77777777" w:rsidR="00257154" w:rsidRDefault="00FD30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400" w:type="dxa"/>
            <w:shd w:val="clear" w:color="auto" w:fill="D9E2F3" w:themeFill="accent1" w:themeFillTint="33"/>
          </w:tcPr>
          <w:p w14:paraId="3409F6FC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</w:t>
            </w:r>
            <w:r>
              <w:rPr>
                <w:b/>
                <w:bCs/>
                <w:kern w:val="0"/>
                <w:sz w:val="20"/>
                <w:szCs w:val="20"/>
                <w14:ligatures w14:val="none"/>
              </w:rPr>
              <w:t>ashodi za nabavu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nefinancijske imovine</w:t>
            </w:r>
          </w:p>
        </w:tc>
        <w:tc>
          <w:tcPr>
            <w:tcW w:w="1559" w:type="dxa"/>
            <w:shd w:val="clear" w:color="auto" w:fill="D9E2F3" w:themeFill="accent1" w:themeFillTint="33"/>
            <w:vAlign w:val="bottom"/>
          </w:tcPr>
          <w:p w14:paraId="7D54E188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3.033.500,00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  <w:vAlign w:val="bottom"/>
          </w:tcPr>
          <w:p w14:paraId="3C5D2341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1.326.500,00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  <w:vAlign w:val="bottom"/>
          </w:tcPr>
          <w:p w14:paraId="5C1E5066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1.384.000,00</w:t>
            </w:r>
          </w:p>
        </w:tc>
      </w:tr>
      <w:tr w:rsidR="00257154" w14:paraId="3039F8EC" w14:textId="77777777" w:rsidTr="0025715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</w:tcPr>
          <w:p w14:paraId="093E8B1D" w14:textId="77777777" w:rsidR="00257154" w:rsidRDefault="00FD30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4400" w:type="dxa"/>
            <w:noWrap/>
          </w:tcPr>
          <w:p w14:paraId="3F6B8923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Rashodi za nabavu ne proizvedene dugotrajne imovine</w:t>
            </w:r>
          </w:p>
        </w:tc>
        <w:tc>
          <w:tcPr>
            <w:tcW w:w="1559" w:type="dxa"/>
            <w:noWrap/>
            <w:vAlign w:val="bottom"/>
          </w:tcPr>
          <w:p w14:paraId="1B78E6FF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8.000,00</w:t>
            </w:r>
          </w:p>
        </w:tc>
        <w:tc>
          <w:tcPr>
            <w:tcW w:w="1496" w:type="dxa"/>
            <w:noWrap/>
            <w:vAlign w:val="bottom"/>
          </w:tcPr>
          <w:p w14:paraId="084291F7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8.000,00</w:t>
            </w:r>
          </w:p>
        </w:tc>
        <w:tc>
          <w:tcPr>
            <w:tcW w:w="1496" w:type="dxa"/>
            <w:noWrap/>
            <w:vAlign w:val="bottom"/>
          </w:tcPr>
          <w:p w14:paraId="7CE67596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8.000,00</w:t>
            </w:r>
          </w:p>
        </w:tc>
      </w:tr>
      <w:tr w:rsidR="00257154" w14:paraId="6043FCBA" w14:textId="77777777" w:rsidTr="00257154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shd w:val="clear" w:color="auto" w:fill="D9E2F3" w:themeFill="accent1" w:themeFillTint="33"/>
          </w:tcPr>
          <w:p w14:paraId="3B0F5245" w14:textId="77777777" w:rsidR="00257154" w:rsidRDefault="00FD30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4400" w:type="dxa"/>
            <w:shd w:val="clear" w:color="auto" w:fill="D9E2F3" w:themeFill="accent1" w:themeFillTint="33"/>
          </w:tcPr>
          <w:p w14:paraId="55D4076B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D9E2F3" w:themeFill="accent1" w:themeFillTint="33"/>
            <w:vAlign w:val="bottom"/>
          </w:tcPr>
          <w:p w14:paraId="422D725B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2.455.500,00</w:t>
            </w:r>
          </w:p>
        </w:tc>
        <w:tc>
          <w:tcPr>
            <w:tcW w:w="1496" w:type="dxa"/>
            <w:shd w:val="clear" w:color="auto" w:fill="D9E2F3" w:themeFill="accent1" w:themeFillTint="33"/>
            <w:vAlign w:val="bottom"/>
          </w:tcPr>
          <w:p w14:paraId="6488E8C5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1.216.500,00</w:t>
            </w:r>
          </w:p>
        </w:tc>
        <w:tc>
          <w:tcPr>
            <w:tcW w:w="1496" w:type="dxa"/>
            <w:shd w:val="clear" w:color="auto" w:fill="D9E2F3" w:themeFill="accent1" w:themeFillTint="33"/>
            <w:vAlign w:val="bottom"/>
          </w:tcPr>
          <w:p w14:paraId="7356B3FE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1.294.000,00</w:t>
            </w:r>
          </w:p>
        </w:tc>
      </w:tr>
      <w:tr w:rsidR="00257154" w14:paraId="3CCB01D6" w14:textId="77777777" w:rsidTr="00257154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14:paraId="2B434350" w14:textId="77777777" w:rsidR="00257154" w:rsidRDefault="00FD30C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4400" w:type="dxa"/>
          </w:tcPr>
          <w:p w14:paraId="4E7A2270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  <w:vAlign w:val="bottom"/>
          </w:tcPr>
          <w:p w14:paraId="3E87FC61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570.000,00</w:t>
            </w:r>
          </w:p>
        </w:tc>
        <w:tc>
          <w:tcPr>
            <w:tcW w:w="1496" w:type="dxa"/>
            <w:vAlign w:val="bottom"/>
          </w:tcPr>
          <w:p w14:paraId="01E9D8FA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102.000,00</w:t>
            </w:r>
          </w:p>
        </w:tc>
        <w:tc>
          <w:tcPr>
            <w:tcW w:w="1496" w:type="dxa"/>
            <w:vAlign w:val="bottom"/>
          </w:tcPr>
          <w:p w14:paraId="0335AA18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82.000,00</w:t>
            </w:r>
          </w:p>
        </w:tc>
      </w:tr>
      <w:tr w:rsidR="00257154" w14:paraId="67A7E15B" w14:textId="77777777" w:rsidTr="00257154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shd w:val="clear" w:color="auto" w:fill="B4C6E7" w:themeFill="accent1" w:themeFillTint="66"/>
          </w:tcPr>
          <w:p w14:paraId="5312322C" w14:textId="77777777" w:rsidR="00257154" w:rsidRDefault="00FD30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UKUPNO</w:t>
            </w:r>
          </w:p>
        </w:tc>
        <w:tc>
          <w:tcPr>
            <w:tcW w:w="4400" w:type="dxa"/>
            <w:shd w:val="clear" w:color="auto" w:fill="B4C6E7" w:themeFill="accent1" w:themeFillTint="66"/>
          </w:tcPr>
          <w:p w14:paraId="7C1BA676" w14:textId="77777777" w:rsidR="00257154" w:rsidRDefault="0025715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B4C6E7" w:themeFill="accent1" w:themeFillTint="66"/>
          </w:tcPr>
          <w:p w14:paraId="4BCDECF6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14:ligatures w14:val="none"/>
              </w:rPr>
              <w:t>5.976.600,00</w:t>
            </w:r>
          </w:p>
        </w:tc>
        <w:tc>
          <w:tcPr>
            <w:tcW w:w="1496" w:type="dxa"/>
            <w:shd w:val="clear" w:color="auto" w:fill="B4C6E7" w:themeFill="accent1" w:themeFillTint="66"/>
          </w:tcPr>
          <w:p w14:paraId="36086904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14:ligatures w14:val="none"/>
              </w:rPr>
              <w:t>3.936.600,00</w:t>
            </w:r>
          </w:p>
        </w:tc>
        <w:tc>
          <w:tcPr>
            <w:tcW w:w="1496" w:type="dxa"/>
            <w:shd w:val="clear" w:color="auto" w:fill="B4C6E7" w:themeFill="accent1" w:themeFillTint="66"/>
          </w:tcPr>
          <w:p w14:paraId="7BB19B83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14:ligatures w14:val="none"/>
              </w:rPr>
              <w:t>4.004.600,00</w:t>
            </w:r>
          </w:p>
        </w:tc>
      </w:tr>
    </w:tbl>
    <w:p w14:paraId="2E7D4823" w14:textId="77777777" w:rsidR="00257154" w:rsidRDefault="002571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74525A8" w14:textId="77777777" w:rsidR="00257154" w:rsidRDefault="00FD30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14:ligatures w14:val="none"/>
        </w:rPr>
        <w:t>RASHODI POSLOVANJA</w:t>
      </w:r>
    </w:p>
    <w:p w14:paraId="52C267AF" w14:textId="77777777" w:rsidR="00257154" w:rsidRDefault="002571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710939F" w14:textId="77777777" w:rsidR="00257154" w:rsidRDefault="00FD30C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Udio pojedinih rashoda u strukturi ukupnih rashoda poslovanja planiranih za 202</w:t>
      </w:r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godinu </w:t>
      </w:r>
    </w:p>
    <w:p w14:paraId="21FBF595" w14:textId="77777777" w:rsidR="00257154" w:rsidRDefault="00FD30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iznosi:</w:t>
      </w:r>
    </w:p>
    <w:p w14:paraId="5A091F28" w14:textId="77777777" w:rsidR="00257154" w:rsidRDefault="00FD30C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rashodi za zaposlene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  <w:t>7,29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2AFD2D0E" w14:textId="77777777" w:rsidR="00257154" w:rsidRDefault="00FD30C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materijalni rashodi 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  <w:t>58,25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4DB63EAA" w14:textId="77777777" w:rsidR="00257154" w:rsidRDefault="00FD30C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financijski rashodi 0,3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 </w:t>
      </w:r>
    </w:p>
    <w:p w14:paraId="638ECBA9" w14:textId="77777777" w:rsidR="00257154" w:rsidRDefault="00FD30C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  <w:t>subvencije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  <w:t xml:space="preserve"> 1,87%</w:t>
      </w:r>
    </w:p>
    <w:p w14:paraId="7827EC4E" w14:textId="77777777" w:rsidR="00257154" w:rsidRDefault="00FD30C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pomoći dane u inozemstvo i unutar općeg proračuna </w:t>
      </w:r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15,96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2EA16B57" w14:textId="77777777" w:rsidR="00257154" w:rsidRDefault="00FD30C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naknade građanima i kućanstvima na temelju osiguranja i druge naknade </w:t>
      </w:r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v-SE" w:eastAsia="hr-HR"/>
          <w14:ligatures w14:val="none"/>
        </w:rPr>
        <w:t>4,51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 </w:t>
      </w:r>
    </w:p>
    <w:p w14:paraId="019FBDF4" w14:textId="77777777" w:rsidR="00257154" w:rsidRDefault="00FD30C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3424D">
        <w:rPr>
          <w:rFonts w:ascii="Times New Roman" w:eastAsia="Times New Roman" w:hAnsi="Times New Roman"/>
          <w:bCs/>
          <w:kern w:val="0"/>
          <w:sz w:val="24"/>
          <w:szCs w:val="24"/>
          <w:lang w:val="sv-SE" w:eastAsia="hr-HR"/>
          <w14:ligatures w14:val="none"/>
        </w:rPr>
        <w:t>r</w:t>
      </w:r>
      <w:proofErr w:type="spellStart"/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ashodi</w:t>
      </w:r>
      <w:proofErr w:type="spellEnd"/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 xml:space="preserve"> za donacije, kazne, naknade šteta i kapitalne pomoći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v-SE" w:eastAsia="hr-HR"/>
          <w14:ligatures w14:val="none"/>
        </w:rPr>
        <w:t xml:space="preserve">11,76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%</w:t>
      </w:r>
    </w:p>
    <w:p w14:paraId="6846E8D8" w14:textId="77777777" w:rsidR="00257154" w:rsidRDefault="0025715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035F90F2" w14:textId="77777777" w:rsidR="00257154" w:rsidRDefault="002571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04485721" w14:textId="77777777" w:rsidR="00257154" w:rsidRDefault="00FD30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Rashodi za zaposlene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</w:t>
      </w:r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planiraju se u iznosu od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214.500,00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  a</w:t>
      </w:r>
      <w:r>
        <w:rPr>
          <w:rFonts w:ascii="Times New Roman" w:hAnsi="Times New Roman" w:cs="Times New Roman"/>
          <w:kern w:val="0"/>
          <w:sz w:val="24"/>
          <w14:ligatures w14:val="none"/>
        </w:rPr>
        <w:t xml:space="preserve"> obuhvaćaju rashode za plaće, ostale rashode za zaposlene i doprinose na plaću za dužnosnika i službenike gradske uprave te proračunskih korisnika.</w:t>
      </w:r>
    </w:p>
    <w:p w14:paraId="66433DD7" w14:textId="77777777" w:rsidR="00257154" w:rsidRDefault="0025715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CA84B6E" w14:textId="77777777" w:rsidR="00257154" w:rsidRDefault="00FD30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U projekcijama za slijedeće dvije godine rashodi za zaposlene planiraju se također u istom iznosu kao i za 2026. godinu.</w:t>
      </w:r>
    </w:p>
    <w:p w14:paraId="1F628B23" w14:textId="77777777" w:rsidR="00257154" w:rsidRDefault="0025715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2807ED4" w14:textId="77777777" w:rsidR="00257154" w:rsidRDefault="00FD30CF">
      <w:pPr>
        <w:spacing w:after="0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Materijalni rashodi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2026. godini planiraju se u iznosu od 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>1.714.300,00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Čine ih rashodi koji se odnose na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izvršavanje programskih aktivnosti i redovno poslovanje gradske uprave te korisnika proračuna.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 strukturi materijalnih rashoda najveći udio čine rashodi za usluge, zatim slijede rashodi za materijal i energiju ostali nespomenuti rashodi poslovanja, zatim naknade troškova zaposlenima.</w:t>
      </w:r>
    </w:p>
    <w:p w14:paraId="368E5EF0" w14:textId="77777777" w:rsidR="00257154" w:rsidRDefault="0025715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EDCE173" w14:textId="77777777" w:rsidR="00257154" w:rsidRDefault="00FD30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</w:t>
      </w:r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7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i 202</w:t>
      </w:r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materijalni rashodi projicirani su na razini od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1.405.300,00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,  odnosno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1.410.800,00</w:t>
      </w:r>
      <w:r w:rsidRPr="00B3424D"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</w:t>
      </w:r>
    </w:p>
    <w:p w14:paraId="4AC1BE76" w14:textId="77777777" w:rsidR="00257154" w:rsidRDefault="0025715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05B48BDD" w14:textId="77777777" w:rsidR="00257154" w:rsidRDefault="00FD30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Financijski rashodi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, koji uključuju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kamate za primljene kredite i zajmove te ostale financijske rashode (rashodi za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ankarske usluge i usluge platnog prometa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202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godini planirani su s iznosom od 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10.700,00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7A664C56" w14:textId="77777777" w:rsidR="00257154" w:rsidRDefault="00257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18B8224" w14:textId="77777777" w:rsidR="00257154" w:rsidRDefault="00FD30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Za naredne dvije godine financijski rashodi su projicirani također na razini od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10.700,00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</w:t>
      </w:r>
    </w:p>
    <w:p w14:paraId="200C8582" w14:textId="77777777" w:rsidR="00257154" w:rsidRDefault="00257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1B6A8B52" w14:textId="77777777" w:rsidR="00257154" w:rsidRPr="00B3424D" w:rsidRDefault="00FD30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3424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Rashodi za subvencije</w:t>
      </w:r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izjamljivačima</w:t>
      </w:r>
      <w:proofErr w:type="spellEnd"/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i poljoprivrednicima predviđeni su u iznosu od 55.000,00 </w:t>
      </w:r>
      <w:proofErr w:type="spellStart"/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u 2026. godini, kao i u projekcijama za 2027. i 2028. godinu. </w:t>
      </w:r>
    </w:p>
    <w:p w14:paraId="616F7A04" w14:textId="77777777" w:rsidR="00257154" w:rsidRDefault="0025715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CA8D242" w14:textId="77777777" w:rsidR="00257154" w:rsidRPr="00B3424D" w:rsidRDefault="00FD30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Rashodi za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pomoći dane u inozemstvo i unutar općeg proračuna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predviđeni su u iznosu od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46</w:t>
      </w:r>
      <w:r w:rsidRPr="00B3424D"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9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.700,00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Planirani rashodi obuhvaćaju </w:t>
      </w:r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tekuće i kapitalne pomoći unutar općeg proračuna i tekuće i kapitalne pomoći proračunskim korisnicima drugih proračuna.</w:t>
      </w:r>
      <w:r w:rsidRPr="00B3424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</w:t>
      </w:r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7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</w:t>
      </w:r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i 2028.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godini ukupni rashodi za pomoći projicirani su na razini od 4</w:t>
      </w:r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72.0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00,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</w:t>
      </w:r>
    </w:p>
    <w:p w14:paraId="4396E98B" w14:textId="77777777" w:rsidR="00257154" w:rsidRDefault="0025715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F8A62D9" w14:textId="77777777" w:rsidR="00257154" w:rsidRDefault="00FD30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Rashodi za naknade građanima i kućanstvima na temelju osiguranja i druge naknade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</w:t>
      </w:r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planirani su u iznosu od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1</w:t>
      </w:r>
      <w:r w:rsidRPr="00B3424D"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3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 xml:space="preserve">2.800,00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Obuhvaćaju naknade </w:t>
      </w:r>
      <w:r w:rsidRPr="00B342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građanima i kućanstvima u novcu i u naravi.</w:t>
      </w:r>
    </w:p>
    <w:p w14:paraId="4AFEE125" w14:textId="77777777" w:rsidR="00257154" w:rsidRDefault="00FD30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projekcijama za 2027. godinu ova skupina rashoda planirana je također na razini od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132.800,00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dok je za 2028. godinu ova skupina rashoda planirana na razini od 137.800,00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</w:p>
    <w:p w14:paraId="2F1018C4" w14:textId="77777777" w:rsidR="00257154" w:rsidRDefault="002571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1792E641" w14:textId="77777777" w:rsidR="00257154" w:rsidRDefault="00FD30CF">
      <w:pPr>
        <w:spacing w:after="0" w:line="240" w:lineRule="auto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Skupina </w:t>
      </w:r>
      <w:r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rashod</w:t>
      </w:r>
      <w:r w:rsidRPr="00B3424D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a</w:t>
      </w:r>
      <w:r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 za donacije, kazne, naknade šteta i kapitalne pomoći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koja obuhvaća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tekuće donacije u novcu i naravi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,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kapitalne donacije neprofitnim organizacijama i 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k</w:t>
      </w:r>
      <w:r>
        <w:rPr>
          <w:rFonts w:ascii="Times New Roman" w:hAnsi="Times New Roman"/>
          <w:kern w:val="0"/>
          <w:sz w:val="24"/>
          <w:szCs w:val="24"/>
          <w:lang w:val="pl-PL"/>
          <w14:ligatures w14:val="none"/>
        </w:rPr>
        <w:t>apitalne pomoći kreditnim i ostalim financijskim institucijama te trgovačkim društvima u javnom sektoru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u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. godini planirana je u iznosu od  </w:t>
      </w:r>
      <w:r>
        <w:rPr>
          <w:rFonts w:ascii="Times New Roman" w:hAnsi="Times New Roman"/>
          <w:kern w:val="0"/>
          <w:sz w:val="24"/>
          <w:szCs w:val="24"/>
          <w:lang w:val="pl-PL"/>
          <w14:ligatures w14:val="none"/>
        </w:rPr>
        <w:t>346.100,00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eur. U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 2028. 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godini ovi rashodi projicirani su na razini od </w:t>
      </w:r>
      <w:r>
        <w:rPr>
          <w:rFonts w:ascii="Times New Roman" w:hAnsi="Times New Roman"/>
          <w:kern w:val="0"/>
          <w:sz w:val="24"/>
          <w:szCs w:val="24"/>
          <w:lang w:val="pl-PL"/>
          <w14:ligatures w14:val="none"/>
        </w:rPr>
        <w:t>3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>19</w:t>
      </w:r>
      <w:r>
        <w:rPr>
          <w:rFonts w:ascii="Times New Roman" w:hAnsi="Times New Roman"/>
          <w:kern w:val="0"/>
          <w:sz w:val="24"/>
          <w:szCs w:val="24"/>
          <w:lang w:val="pl-PL"/>
          <w14:ligatures w14:val="none"/>
        </w:rPr>
        <w:t>.100,00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eur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998174A" w14:textId="77777777" w:rsidR="00257154" w:rsidRDefault="00FD30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 w:type="page"/>
      </w:r>
    </w:p>
    <w:p w14:paraId="5AC25D41" w14:textId="5A11C97C" w:rsidR="00257154" w:rsidRDefault="00FD30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lastRenderedPageBreak/>
        <w:t xml:space="preserve">Grafikon 2. Struktura planiranih rashoda poslovanja u ukupno planiranim rashodima poslovanja Proračuna </w:t>
      </w:r>
      <w:r w:rsidRPr="00B342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hr-HR"/>
          <w14:ligatures w14:val="none"/>
        </w:rPr>
        <w:t xml:space="preserve">Općine </w:t>
      </w:r>
      <w:bookmarkStart w:id="6" w:name="_Hlk182572281"/>
      <w:r w:rsidRPr="00B342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hr-HR"/>
          <w14:ligatures w14:val="none"/>
        </w:rPr>
        <w:t xml:space="preserve">Kaštelir – Labinci -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hr-HR"/>
          <w14:ligatures w14:val="none"/>
        </w:rPr>
        <w:t>Castelliere</w:t>
      </w:r>
      <w:r w:rsidRPr="00B342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hr-HR"/>
          <w14:ligatures w14:val="none"/>
        </w:rPr>
        <w:t xml:space="preserve"> -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hr-HR"/>
          <w14:ligatures w14:val="none"/>
        </w:rPr>
        <w:t>S. Domenica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</w:t>
      </w:r>
      <w:bookmarkEnd w:id="6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za 202</w:t>
      </w:r>
      <w:r w:rsidRPr="00B342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 godinu</w:t>
      </w:r>
    </w:p>
    <w:p w14:paraId="6D806BB0" w14:textId="77777777" w:rsidR="00257154" w:rsidRDefault="002571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2B04069" w14:textId="77777777" w:rsidR="00257154" w:rsidRDefault="00FD3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114300" distR="114300" wp14:anchorId="0D52AD55" wp14:editId="37D0550B">
            <wp:extent cx="5753735" cy="3408680"/>
            <wp:effectExtent l="0" t="0" r="6985" b="5080"/>
            <wp:docPr id="3" name="Picture 3" descr="Pictu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icture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340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3F78D" w14:textId="77777777" w:rsidR="00257154" w:rsidRDefault="00257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35CBC5C" w14:textId="77777777" w:rsidR="00257154" w:rsidRDefault="00257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7B2CAB2" w14:textId="77777777" w:rsidR="00257154" w:rsidRDefault="00257154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116EE1F" w14:textId="77777777" w:rsidR="00257154" w:rsidRDefault="00FD30CF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RASHODI ZA NABAVU NEFINANCIJSKE IMOVINE</w:t>
      </w:r>
    </w:p>
    <w:p w14:paraId="47BA04D6" w14:textId="77777777" w:rsidR="00257154" w:rsidRDefault="00257154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6585CF5" w14:textId="77777777" w:rsidR="00257154" w:rsidRDefault="00FD30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Ukupni rashodi za nabavu nefinancijske imovine u 202</w:t>
      </w:r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planirani su u iznosu od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3.033.500,00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Udio pojedinih rashoda u strukturi rashoda za nabavu nefinancijske imovine iznosi:  </w:t>
      </w:r>
    </w:p>
    <w:p w14:paraId="46F30D54" w14:textId="77777777" w:rsidR="00257154" w:rsidRDefault="00FD30C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rashodi za nabavu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neproizvedene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dugotrajne imovine </w:t>
      </w:r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hr-HR"/>
          <w14:ligatures w14:val="none"/>
        </w:rPr>
        <w:t>0,26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75531FB0" w14:textId="77777777" w:rsidR="00257154" w:rsidRDefault="00FD30C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rashodi za nabavu proizvedene dugotrajne imovine </w:t>
      </w:r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hr-HR"/>
          <w14:ligatures w14:val="none"/>
        </w:rPr>
        <w:t xml:space="preserve">80,95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%</w:t>
      </w:r>
    </w:p>
    <w:p w14:paraId="10F38A6B" w14:textId="77777777" w:rsidR="00257154" w:rsidRDefault="00FD30CF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3424D"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r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ashodi za dodatna ulaganja na nefinancijskoj imovini</w:t>
      </w:r>
      <w:r w:rsidRPr="00B3424D"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 xml:space="preserve"> 18,79%</w:t>
      </w:r>
    </w:p>
    <w:p w14:paraId="6A11D880" w14:textId="77777777" w:rsidR="00257154" w:rsidRDefault="002571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49AB9817" w14:textId="77777777" w:rsidR="00257154" w:rsidRDefault="00FD30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</w:t>
      </w:r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hr-HR"/>
          <w14:ligatures w14:val="none"/>
        </w:rPr>
        <w:t>7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i 202</w:t>
      </w:r>
      <w:r w:rsidRPr="00B3424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rashodi ove skupine projicirani su u iznosima od po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1.326.500,00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i 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1.384.000,00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</w:t>
      </w:r>
    </w:p>
    <w:p w14:paraId="56F69248" w14:textId="77777777" w:rsidR="00257154" w:rsidRDefault="002571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4C56AB86" w14:textId="77777777" w:rsidR="00257154" w:rsidRDefault="00FD30CF">
      <w:pPr>
        <w:spacing w:after="0"/>
        <w:ind w:firstLine="284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14:ligatures w14:val="none"/>
        </w:rPr>
        <w:t>Rashodi su raspoređeni u posebnom dijelu proračuna po nositeljima i korisnicima prema programskoj, ekonomskoj i funkcijskoj klasifikaciji.</w:t>
      </w:r>
    </w:p>
    <w:p w14:paraId="33FF0594" w14:textId="77777777" w:rsidR="00257154" w:rsidRDefault="00FD30CF">
      <w:pPr>
        <w:spacing w:after="0" w:line="240" w:lineRule="auto"/>
        <w:rPr>
          <w:rFonts w:ascii="Times New Roman" w:hAnsi="Times New Roman" w:cs="Times New Roman"/>
          <w:kern w:val="0"/>
          <w:sz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14:ligatures w14:val="none"/>
        </w:rPr>
        <w:br w:type="page"/>
      </w:r>
    </w:p>
    <w:p w14:paraId="5985C6B2" w14:textId="51969BB9" w:rsidR="00257154" w:rsidRDefault="00FD30CF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kern w:val="0"/>
          <w:sz w:val="24"/>
          <w14:ligatures w14:val="none"/>
        </w:rPr>
      </w:pPr>
      <w:r>
        <w:rPr>
          <w:rFonts w:ascii="Times New Roman" w:hAnsi="Times New Roman" w:cs="Times New Roman"/>
          <w:i/>
          <w:iCs/>
          <w:kern w:val="0"/>
          <w:sz w:val="24"/>
          <w14:ligatures w14:val="none"/>
        </w:rPr>
        <w:lastRenderedPageBreak/>
        <w:t xml:space="preserve">Tablica 5.  Ukupni planirani rashodi Proračuna Općine </w:t>
      </w:r>
      <w:proofErr w:type="spellStart"/>
      <w:r>
        <w:rPr>
          <w:rFonts w:ascii="Times New Roman" w:hAnsi="Times New Roman" w:cs="Times New Roman"/>
          <w:i/>
          <w:iCs/>
          <w:kern w:val="0"/>
          <w:sz w:val="24"/>
          <w14:ligatures w14:val="none"/>
        </w:rPr>
        <w:t>Kaštelir</w:t>
      </w:r>
      <w:proofErr w:type="spellEnd"/>
      <w:r>
        <w:rPr>
          <w:rFonts w:ascii="Times New Roman" w:hAnsi="Times New Roman" w:cs="Times New Roman"/>
          <w:i/>
          <w:iCs/>
          <w:kern w:val="0"/>
          <w:sz w:val="24"/>
          <w14:ligatures w14:val="none"/>
        </w:rPr>
        <w:t xml:space="preserve"> – Labinci - </w:t>
      </w:r>
      <w:proofErr w:type="spellStart"/>
      <w:r>
        <w:rPr>
          <w:rFonts w:ascii="Times New Roman" w:hAnsi="Times New Roman" w:cs="Times New Roman"/>
          <w:i/>
          <w:iCs/>
          <w:kern w:val="0"/>
          <w:sz w:val="24"/>
          <w14:ligatures w14:val="none"/>
        </w:rPr>
        <w:t>Castelliere</w:t>
      </w:r>
      <w:proofErr w:type="spellEnd"/>
      <w:r>
        <w:rPr>
          <w:rFonts w:ascii="Times New Roman" w:hAnsi="Times New Roman" w:cs="Times New Roman"/>
          <w:i/>
          <w:iCs/>
          <w:kern w:val="0"/>
          <w:sz w:val="24"/>
          <w14:ligatures w14:val="none"/>
        </w:rPr>
        <w:t xml:space="preserve"> - S. Domenica</w:t>
      </w:r>
      <w:r>
        <w:rPr>
          <w:rFonts w:ascii="Times New Roman" w:hAnsi="Times New Roman" w:cs="Times New Roman"/>
          <w:i/>
          <w:iCs/>
          <w:kern w:val="0"/>
          <w:sz w:val="24"/>
          <w14:ligatures w14:val="none"/>
        </w:rPr>
        <w:t xml:space="preserve"> u 2026. i projekcije za 2027. i 2028. godinu po organizacijskoj klasifikaciji</w:t>
      </w:r>
    </w:p>
    <w:p w14:paraId="7C2482E3" w14:textId="77777777" w:rsidR="00257154" w:rsidRDefault="00FD30CF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133"/>
        <w:contextualSpacing/>
        <w:jc w:val="both"/>
        <w:textAlignment w:val="baseline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</w:t>
      </w:r>
    </w:p>
    <w:p w14:paraId="1FBE31B5" w14:textId="77777777" w:rsidR="00257154" w:rsidRDefault="00FD30CF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133"/>
        <w:contextualSpacing/>
        <w:jc w:val="right"/>
        <w:textAlignment w:val="baseline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-u eurima -</w:t>
      </w:r>
    </w:p>
    <w:tbl>
      <w:tblPr>
        <w:tblStyle w:val="Tablicapopisa4-isticanje11"/>
        <w:tblpPr w:leftFromText="180" w:rightFromText="180" w:vertAnchor="text" w:horzAnchor="margin" w:tblpXSpec="center" w:tblpY="244"/>
        <w:tblW w:w="9823" w:type="dxa"/>
        <w:tblLook w:val="04A0" w:firstRow="1" w:lastRow="0" w:firstColumn="1" w:lastColumn="0" w:noHBand="0" w:noVBand="1"/>
      </w:tblPr>
      <w:tblGrid>
        <w:gridCol w:w="1135"/>
        <w:gridCol w:w="851"/>
        <w:gridCol w:w="3691"/>
        <w:gridCol w:w="1418"/>
        <w:gridCol w:w="1419"/>
        <w:gridCol w:w="1309"/>
      </w:tblGrid>
      <w:tr w:rsidR="00257154" w14:paraId="19E2053D" w14:textId="77777777" w:rsidTr="00257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gridSpan w:val="3"/>
            <w:noWrap/>
            <w:vAlign w:val="center"/>
          </w:tcPr>
          <w:p w14:paraId="5E85AE51" w14:textId="77777777" w:rsidR="00257154" w:rsidRDefault="00FD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Razdjel, glava, korisnik </w:t>
            </w:r>
          </w:p>
        </w:tc>
        <w:tc>
          <w:tcPr>
            <w:tcW w:w="1418" w:type="dxa"/>
            <w:noWrap/>
            <w:vAlign w:val="center"/>
          </w:tcPr>
          <w:p w14:paraId="497D30CB" w14:textId="77777777" w:rsidR="00257154" w:rsidRDefault="00FD30C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Plan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419" w:type="dxa"/>
            <w:noWrap/>
            <w:vAlign w:val="center"/>
          </w:tcPr>
          <w:p w14:paraId="62C5ADA4" w14:textId="77777777" w:rsidR="00257154" w:rsidRDefault="00FD30C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309" w:type="dxa"/>
            <w:noWrap/>
            <w:vAlign w:val="center"/>
          </w:tcPr>
          <w:p w14:paraId="54A35ADF" w14:textId="77777777" w:rsidR="00257154" w:rsidRDefault="00FD30C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257154" w14:paraId="57686486" w14:textId="77777777" w:rsidTr="0025715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</w:tcPr>
          <w:p w14:paraId="0EEFC20A" w14:textId="77777777" w:rsidR="00257154" w:rsidRDefault="00FD3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RAZDJEL</w:t>
            </w:r>
          </w:p>
        </w:tc>
        <w:tc>
          <w:tcPr>
            <w:tcW w:w="851" w:type="dxa"/>
            <w:noWrap/>
          </w:tcPr>
          <w:p w14:paraId="1EF3BB0C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001</w:t>
            </w:r>
          </w:p>
        </w:tc>
        <w:tc>
          <w:tcPr>
            <w:tcW w:w="3691" w:type="dxa"/>
          </w:tcPr>
          <w:p w14:paraId="075B84CB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val="en-US" w:eastAsia="hr-HR"/>
                <w14:ligatures w14:val="none"/>
              </w:rPr>
              <w:t>PREDSTAVNIČKA I IZVRŠNA TIJELA</w:t>
            </w:r>
          </w:p>
        </w:tc>
        <w:tc>
          <w:tcPr>
            <w:tcW w:w="1418" w:type="dxa"/>
            <w:noWrap/>
          </w:tcPr>
          <w:p w14:paraId="5D021385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74.450,00</w:t>
            </w:r>
          </w:p>
        </w:tc>
        <w:tc>
          <w:tcPr>
            <w:tcW w:w="1419" w:type="dxa"/>
            <w:noWrap/>
          </w:tcPr>
          <w:p w14:paraId="33B3C2DD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74.450,00</w:t>
            </w:r>
          </w:p>
        </w:tc>
        <w:tc>
          <w:tcPr>
            <w:tcW w:w="1309" w:type="dxa"/>
            <w:noWrap/>
          </w:tcPr>
          <w:p w14:paraId="12476132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74.450,00</w:t>
            </w:r>
          </w:p>
        </w:tc>
      </w:tr>
      <w:tr w:rsidR="00257154" w14:paraId="4061AC3E" w14:textId="77777777" w:rsidTr="00257154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</w:tcPr>
          <w:p w14:paraId="5AE54CB5" w14:textId="77777777" w:rsidR="00257154" w:rsidRDefault="00FD3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</w:tcPr>
          <w:p w14:paraId="29BCA867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00101</w:t>
            </w:r>
          </w:p>
        </w:tc>
        <w:tc>
          <w:tcPr>
            <w:tcW w:w="3691" w:type="dxa"/>
            <w:noWrap/>
          </w:tcPr>
          <w:p w14:paraId="4595396E" w14:textId="77777777" w:rsidR="00257154" w:rsidRPr="00B3424D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val="sv-SE" w:eastAsia="hr-HR"/>
                <w14:ligatures w14:val="none"/>
              </w:rPr>
            </w:pPr>
            <w:r w:rsidRPr="00B3424D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val="sv-SE" w:eastAsia="hr-HR"/>
                <w14:ligatures w14:val="none"/>
              </w:rPr>
              <w:t>RAD PREDSTAVNIČKIH I IZVRŠNIH TIJELA</w:t>
            </w:r>
          </w:p>
        </w:tc>
        <w:tc>
          <w:tcPr>
            <w:tcW w:w="1418" w:type="dxa"/>
            <w:noWrap/>
          </w:tcPr>
          <w:p w14:paraId="08C90BC7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74.450,00</w:t>
            </w:r>
          </w:p>
        </w:tc>
        <w:tc>
          <w:tcPr>
            <w:tcW w:w="1419" w:type="dxa"/>
            <w:noWrap/>
          </w:tcPr>
          <w:p w14:paraId="23D58A77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19"/>
                <w:szCs w:val="19"/>
                <w:lang w:eastAsia="hr-HR"/>
                <w14:ligatures w14:val="none"/>
              </w:rPr>
              <w:t>74.450,00</w:t>
            </w:r>
          </w:p>
        </w:tc>
        <w:tc>
          <w:tcPr>
            <w:tcW w:w="1309" w:type="dxa"/>
            <w:noWrap/>
          </w:tcPr>
          <w:p w14:paraId="522DC169" w14:textId="77777777" w:rsidR="00257154" w:rsidRDefault="00FD30C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19"/>
                <w:szCs w:val="19"/>
                <w:lang w:eastAsia="hr-HR"/>
                <w14:ligatures w14:val="none"/>
              </w:rPr>
              <w:t>74.450,00</w:t>
            </w:r>
          </w:p>
        </w:tc>
      </w:tr>
      <w:tr w:rsidR="00257154" w14:paraId="454DAC5E" w14:textId="77777777" w:rsidTr="00257154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</w:tcPr>
          <w:p w14:paraId="7E198ADB" w14:textId="77777777" w:rsidR="00257154" w:rsidRDefault="00FD3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RAZDJEL</w:t>
            </w:r>
          </w:p>
        </w:tc>
        <w:tc>
          <w:tcPr>
            <w:tcW w:w="851" w:type="dxa"/>
            <w:noWrap/>
          </w:tcPr>
          <w:p w14:paraId="34F0E693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002</w:t>
            </w:r>
          </w:p>
        </w:tc>
        <w:tc>
          <w:tcPr>
            <w:tcW w:w="3691" w:type="dxa"/>
            <w:noWrap/>
          </w:tcPr>
          <w:p w14:paraId="18CA685A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val="en-US" w:eastAsia="hr-HR"/>
                <w14:ligatures w14:val="none"/>
              </w:rPr>
              <w:t>JEDINSTVENI UPRAVNI ODJEL</w:t>
            </w:r>
          </w:p>
        </w:tc>
        <w:tc>
          <w:tcPr>
            <w:tcW w:w="1418" w:type="dxa"/>
            <w:noWrap/>
            <w:vAlign w:val="bottom"/>
          </w:tcPr>
          <w:p w14:paraId="2811FB18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19"/>
                <w:szCs w:val="19"/>
                <w:lang w:val="en-US" w:eastAsia="zh-CN" w:bidi="ar"/>
              </w:rPr>
              <w:t>5.927.550,00</w:t>
            </w:r>
          </w:p>
        </w:tc>
        <w:tc>
          <w:tcPr>
            <w:tcW w:w="1419" w:type="dxa"/>
            <w:noWrap/>
            <w:vAlign w:val="bottom"/>
          </w:tcPr>
          <w:p w14:paraId="54DA9C9D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19"/>
                <w:szCs w:val="19"/>
                <w:lang w:val="en-US" w:eastAsia="zh-CN" w:bidi="ar"/>
              </w:rPr>
              <w:t>3.887.550,00</w:t>
            </w:r>
          </w:p>
        </w:tc>
        <w:tc>
          <w:tcPr>
            <w:tcW w:w="1309" w:type="dxa"/>
            <w:noWrap/>
            <w:vAlign w:val="bottom"/>
          </w:tcPr>
          <w:p w14:paraId="61B70528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19"/>
                <w:szCs w:val="19"/>
                <w:lang w:val="en-US" w:eastAsia="zh-CN" w:bidi="ar"/>
              </w:rPr>
              <w:t>3.955.550,00</w:t>
            </w:r>
          </w:p>
        </w:tc>
      </w:tr>
      <w:tr w:rsidR="00257154" w14:paraId="0FCCD204" w14:textId="77777777" w:rsidTr="00257154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D9E2F3" w:themeFill="accent1" w:themeFillTint="33"/>
            <w:noWrap/>
          </w:tcPr>
          <w:p w14:paraId="4FDA6E03" w14:textId="77777777" w:rsidR="00257154" w:rsidRDefault="00FD3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shd w:val="clear" w:color="auto" w:fill="D9E2F3" w:themeFill="accent1" w:themeFillTint="33"/>
            <w:noWrap/>
          </w:tcPr>
          <w:p w14:paraId="09BB3718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00201</w:t>
            </w:r>
          </w:p>
        </w:tc>
        <w:tc>
          <w:tcPr>
            <w:tcW w:w="3691" w:type="dxa"/>
            <w:shd w:val="clear" w:color="auto" w:fill="D9E2F3" w:themeFill="accent1" w:themeFillTint="33"/>
            <w:noWrap/>
          </w:tcPr>
          <w:p w14:paraId="6E3D4A90" w14:textId="77777777" w:rsidR="00257154" w:rsidRDefault="00FD3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val="en-US" w:eastAsia="hr-HR"/>
                <w14:ligatures w14:val="none"/>
              </w:rPr>
              <w:t>JEDINSTVENI UPRAVNI ODJEL</w:t>
            </w:r>
          </w:p>
        </w:tc>
        <w:tc>
          <w:tcPr>
            <w:tcW w:w="1418" w:type="dxa"/>
            <w:shd w:val="clear" w:color="auto" w:fill="D9E2F3" w:themeFill="accent1" w:themeFillTint="33"/>
            <w:noWrap/>
            <w:vAlign w:val="bottom"/>
          </w:tcPr>
          <w:p w14:paraId="40627504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9"/>
                <w:szCs w:val="19"/>
                <w:lang w:val="en-US" w:eastAsia="zh-CN" w:bidi="ar"/>
              </w:rPr>
              <w:t>5.927.550,00</w:t>
            </w:r>
          </w:p>
        </w:tc>
        <w:tc>
          <w:tcPr>
            <w:tcW w:w="1419" w:type="dxa"/>
            <w:shd w:val="clear" w:color="auto" w:fill="D9E2F3" w:themeFill="accent1" w:themeFillTint="33"/>
            <w:noWrap/>
            <w:vAlign w:val="bottom"/>
          </w:tcPr>
          <w:p w14:paraId="1C2FFA4A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9"/>
                <w:szCs w:val="19"/>
                <w:lang w:val="en-US" w:eastAsia="zh-CN" w:bidi="ar"/>
              </w:rPr>
              <w:t>3.887.550,00</w:t>
            </w:r>
          </w:p>
        </w:tc>
        <w:tc>
          <w:tcPr>
            <w:tcW w:w="1309" w:type="dxa"/>
            <w:shd w:val="clear" w:color="auto" w:fill="D9E2F3" w:themeFill="accent1" w:themeFillTint="33"/>
            <w:noWrap/>
            <w:vAlign w:val="bottom"/>
          </w:tcPr>
          <w:p w14:paraId="77A1A892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9"/>
                <w:szCs w:val="19"/>
                <w:lang w:val="en-US" w:eastAsia="zh-CN" w:bidi="ar"/>
              </w:rPr>
              <w:t>3.955.550,00</w:t>
            </w:r>
          </w:p>
        </w:tc>
      </w:tr>
      <w:tr w:rsidR="00257154" w14:paraId="1A493DC7" w14:textId="77777777" w:rsidTr="00257154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gridSpan w:val="3"/>
            <w:noWrap/>
          </w:tcPr>
          <w:p w14:paraId="3FA1A95D" w14:textId="77777777" w:rsidR="00257154" w:rsidRDefault="00FD3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UKUPNO</w:t>
            </w:r>
          </w:p>
        </w:tc>
        <w:tc>
          <w:tcPr>
            <w:tcW w:w="1418" w:type="dxa"/>
            <w:noWrap/>
            <w:vAlign w:val="bottom"/>
          </w:tcPr>
          <w:p w14:paraId="37EB1A52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val="en-US"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6.002.000,00</w:t>
            </w:r>
          </w:p>
        </w:tc>
        <w:tc>
          <w:tcPr>
            <w:tcW w:w="1419" w:type="dxa"/>
            <w:noWrap/>
            <w:vAlign w:val="bottom"/>
          </w:tcPr>
          <w:p w14:paraId="515D84D8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highlight w:val="yellow"/>
                <w:lang w:val="en-US"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3.962.000,00</w:t>
            </w:r>
          </w:p>
        </w:tc>
        <w:tc>
          <w:tcPr>
            <w:tcW w:w="1309" w:type="dxa"/>
            <w:noWrap/>
            <w:vAlign w:val="bottom"/>
          </w:tcPr>
          <w:p w14:paraId="0BBE3022" w14:textId="77777777" w:rsidR="00257154" w:rsidRDefault="00FD30CF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highlight w:val="yellow"/>
                <w:lang w:val="en-US"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4.030.000,00</w:t>
            </w:r>
          </w:p>
        </w:tc>
      </w:tr>
    </w:tbl>
    <w:p w14:paraId="06D3C254" w14:textId="77777777" w:rsidR="00257154" w:rsidRDefault="002571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04D2CB7D" w14:textId="77777777" w:rsidR="00257154" w:rsidRDefault="002571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25D52C04" w14:textId="77777777" w:rsidR="00257154" w:rsidRDefault="00FD30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Grafikon 3. Udio rashoda planiranih po pojedinim razdjelima u ukupnim rashodima u 202</w:t>
      </w:r>
      <w:r w:rsidRPr="00B3424D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. </w:t>
      </w:r>
    </w:p>
    <w:p w14:paraId="7E06525E" w14:textId="77777777" w:rsidR="00257154" w:rsidRDefault="00FD3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godini</w:t>
      </w:r>
    </w:p>
    <w:p w14:paraId="5392D3D6" w14:textId="77777777" w:rsidR="00257154" w:rsidRDefault="00257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D5A3F7" w14:textId="77777777" w:rsidR="00257154" w:rsidRDefault="00FD3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114300" distR="114300" wp14:anchorId="4E5B658E" wp14:editId="2353DB45">
            <wp:extent cx="5759450" cy="3275965"/>
            <wp:effectExtent l="0" t="0" r="1270" b="635"/>
            <wp:docPr id="4" name="Picture 4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icture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011CD" w14:textId="77777777" w:rsidR="00257154" w:rsidRDefault="002571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B79B7F" w14:textId="77777777" w:rsidR="00257154" w:rsidRDefault="002571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D52F8D" w14:textId="77777777" w:rsidR="00257154" w:rsidRDefault="002571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8E1AF3" w14:textId="77777777" w:rsidR="00257154" w:rsidRDefault="00FD30CF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RAČUN FINANCIRANJA - PRIMICI OD FINANCIJSKE IMOVINE I ZADUŽIVANJA</w:t>
      </w:r>
    </w:p>
    <w:p w14:paraId="27ACB73E" w14:textId="77777777" w:rsidR="00257154" w:rsidRDefault="0025715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7FE8CA2" w14:textId="77777777" w:rsidR="00257154" w:rsidRDefault="00FD30CF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Zaduživanje jedinica lokalne i područne (regionalne) samouprave kao i davanje jamstava i suglasnosti pravnim osobama u većinskom vlasništvu ili suvlasništvu jedinice lokalne i područne (regionalne) samouprave i ustanovama čiji je osnivač regulirano je Zakonom o proračunu.</w:t>
      </w:r>
    </w:p>
    <w:p w14:paraId="6B65E4C9" w14:textId="77777777" w:rsidR="00257154" w:rsidRDefault="00FD30C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Jedinica lokalne samouprave može se dugoročno zadužiti samo za investiciju koja se financira iz njezina proračuna, a koju potvrdi njezino predstavničko tijelo uz suglasnost Vlade, a na prijedlog ministra financija. </w:t>
      </w:r>
    </w:p>
    <w:p w14:paraId="3F06ED3A" w14:textId="77777777" w:rsidR="00257154" w:rsidRDefault="00FD30C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Visina zaduživanja ograničena je Zakonom na način da ukupna godišnja obveza za otplatu kredita i zajmova (godišnji anuitet) jedinice lokalne i područne (regionalne) samouprave može iznositi najviše 20% ostvarenih izvornih prihoda u godini koja prethodi godini u kojoj se zadužuje. Pod ostvarenim proračunskim prihodima podrazumijevaju se ostvareni prihodi umanjeni za prihode od domaćih i stranih pomoći i donacija, prihode iz posebnih ugovora (sufinanciranje građana za mjesnu samoupravu) te prihode ostvarene 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osnove dodatnih udjela u porezu na dohodak i pomoći izravnanja za financiranje decentraliziranih funkcija. Međutim, to ograničenje ne odnosi se na projekte koji se sufinanciraju iz pretpristupnih programa i fondova EU i na projekte iz područja unapređenja energetske učinkovitosti. </w:t>
      </w:r>
    </w:p>
    <w:p w14:paraId="07C7ADCE" w14:textId="77777777" w:rsidR="00257154" w:rsidRDefault="0025715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636240" w14:textId="77777777" w:rsidR="00257154" w:rsidRDefault="00257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BCDD63" w14:textId="77777777" w:rsidR="00257154" w:rsidRPr="00B3424D" w:rsidRDefault="00FD30C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Ukupnih izdaci za financijsku imovinu i otplate zajmova iznose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25.400,00</w:t>
      </w:r>
      <w:r w:rsidRPr="00B3424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B3424D">
        <w:rPr>
          <w:rFonts w:ascii="Times New Roman" w:eastAsia="Times New Roman" w:hAnsi="Times New Roman"/>
          <w:sz w:val="24"/>
          <w:szCs w:val="24"/>
          <w:lang w:eastAsia="hr-HR"/>
        </w:rPr>
        <w:t>eur</w:t>
      </w:r>
      <w:proofErr w:type="spellEnd"/>
      <w:r w:rsidRPr="00B3424D">
        <w:rPr>
          <w:rFonts w:ascii="Times New Roman" w:eastAsia="Times New Roman" w:hAnsi="Times New Roman"/>
          <w:sz w:val="24"/>
          <w:szCs w:val="24"/>
          <w:lang w:eastAsia="hr-HR"/>
        </w:rPr>
        <w:t xml:space="preserve"> za 2026. godinu.</w:t>
      </w:r>
    </w:p>
    <w:p w14:paraId="2D85D1EB" w14:textId="77777777" w:rsidR="00257154" w:rsidRDefault="00257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1D2EBA2" w14:textId="77777777" w:rsidR="00257154" w:rsidRPr="00B3424D" w:rsidRDefault="00FD3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U prijedlogu plana proračuna za 202</w:t>
      </w:r>
      <w:r w:rsidRPr="00B3424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godinu </w:t>
      </w:r>
      <w:r w:rsidRPr="00B3424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manjak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prihoda i primitaka nad rashodima i izdacima iznosi </w:t>
      </w:r>
      <w:r w:rsidRPr="00B3424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500.000,00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Pokriće istog se planira prenesenim viškom iz prethodne  202</w:t>
      </w:r>
      <w:r w:rsidRPr="00B3424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godine u iznosu od </w:t>
      </w:r>
      <w:r w:rsidRPr="00B3424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500.000,00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B3424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Planirani su primici od financijske imovine i zaduživanja </w:t>
      </w:r>
      <w:r w:rsidRPr="00B3424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2.250.000,00 </w:t>
      </w:r>
      <w:proofErr w:type="spellStart"/>
      <w:r w:rsidRPr="00B3424D">
        <w:rPr>
          <w:rFonts w:ascii="Times New Roman" w:eastAsia="Times New Roman" w:hAnsi="Times New Roman"/>
          <w:bCs/>
          <w:sz w:val="24"/>
          <w:szCs w:val="24"/>
          <w:lang w:eastAsia="hr-HR"/>
        </w:rPr>
        <w:t>eur</w:t>
      </w:r>
      <w:proofErr w:type="spellEnd"/>
      <w:r w:rsidRPr="00B3424D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</w:p>
    <w:p w14:paraId="13A64F5D" w14:textId="77777777" w:rsidR="00257154" w:rsidRDefault="0025715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3F6E63" w14:textId="77777777" w:rsidR="00257154" w:rsidRDefault="00FD30C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projekcijama za 202</w:t>
      </w:r>
      <w:r w:rsidRPr="00B3424D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 </w:t>
      </w:r>
      <w:r w:rsidRPr="00B3424D">
        <w:rPr>
          <w:rFonts w:ascii="Times New Roman" w:eastAsia="Times New Roman" w:hAnsi="Times New Roman" w:cs="Times New Roman"/>
          <w:sz w:val="24"/>
          <w:szCs w:val="24"/>
          <w:lang w:eastAsia="hr-HR"/>
        </w:rPr>
        <w:t>2028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planirani su primici za financijsku imovinu od iznosu od 550.000,00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proofErr w:type="spellEnd"/>
      <w:r w:rsidRPr="00B3424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 izdaci za financijsku imovinu i otplate zajmova iznose po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25.400,00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svaku od navedenih godina. </w:t>
      </w:r>
    </w:p>
    <w:p w14:paraId="127AC760" w14:textId="77777777" w:rsidR="00257154" w:rsidRDefault="00257154">
      <w:pPr>
        <w:rPr>
          <w:rFonts w:cstheme="minorHAnsi"/>
          <w:sz w:val="44"/>
          <w:szCs w:val="44"/>
        </w:rPr>
      </w:pPr>
    </w:p>
    <w:p w14:paraId="0B3F67A6" w14:textId="77777777" w:rsidR="00257154" w:rsidRDefault="002571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44"/>
          <w:szCs w:val="44"/>
        </w:rPr>
      </w:pPr>
    </w:p>
    <w:sectPr w:rsidR="00257154"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7E7C4" w14:textId="77777777" w:rsidR="00AA3649" w:rsidRDefault="00AA3649">
      <w:pPr>
        <w:spacing w:line="240" w:lineRule="auto"/>
      </w:pPr>
      <w:r>
        <w:separator/>
      </w:r>
    </w:p>
  </w:endnote>
  <w:endnote w:type="continuationSeparator" w:id="0">
    <w:p w14:paraId="467600BF" w14:textId="77777777" w:rsidR="00AA3649" w:rsidRDefault="00AA36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2182743"/>
    </w:sdtPr>
    <w:sdtEndPr/>
    <w:sdtContent>
      <w:p w14:paraId="58251744" w14:textId="77777777" w:rsidR="00257154" w:rsidRDefault="00FD30C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A7F8B" w14:textId="77777777" w:rsidR="00257154" w:rsidRDefault="0025715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EB0DB" w14:textId="77777777" w:rsidR="00AA3649" w:rsidRDefault="00AA3649">
      <w:pPr>
        <w:spacing w:after="0"/>
      </w:pPr>
      <w:r>
        <w:separator/>
      </w:r>
    </w:p>
  </w:footnote>
  <w:footnote w:type="continuationSeparator" w:id="0">
    <w:p w14:paraId="71A1C922" w14:textId="77777777" w:rsidR="00AA3649" w:rsidRDefault="00AA36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2D25"/>
    <w:multiLevelType w:val="multilevel"/>
    <w:tmpl w:val="04B42D25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F42273"/>
    <w:multiLevelType w:val="multilevel"/>
    <w:tmpl w:val="0CF42273"/>
    <w:lvl w:ilvl="0">
      <w:numFmt w:val="bullet"/>
      <w:lvlText w:val="-"/>
      <w:lvlJc w:val="left"/>
      <w:pPr>
        <w:ind w:left="8145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abstractNum w:abstractNumId="2" w15:restartNumberingAfterBreak="0">
    <w:nsid w:val="12CB2D5A"/>
    <w:multiLevelType w:val="multilevel"/>
    <w:tmpl w:val="12CB2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9857AF7"/>
    <w:multiLevelType w:val="multilevel"/>
    <w:tmpl w:val="59857AF7"/>
    <w:lvl w:ilvl="0">
      <w:numFmt w:val="bullet"/>
      <w:lvlText w:val="-"/>
      <w:lvlJc w:val="left"/>
      <w:pPr>
        <w:ind w:left="213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4" w15:restartNumberingAfterBreak="0">
    <w:nsid w:val="63D247C3"/>
    <w:multiLevelType w:val="multilevel"/>
    <w:tmpl w:val="63D247C3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 w16cid:durableId="293490423">
    <w:abstractNumId w:val="0"/>
  </w:num>
  <w:num w:numId="2" w16cid:durableId="1602183442">
    <w:abstractNumId w:val="2"/>
  </w:num>
  <w:num w:numId="3" w16cid:durableId="285551724">
    <w:abstractNumId w:val="1"/>
  </w:num>
  <w:num w:numId="4" w16cid:durableId="2102604458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6197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B05"/>
    <w:rsid w:val="0000030D"/>
    <w:rsid w:val="00041E9E"/>
    <w:rsid w:val="000607A7"/>
    <w:rsid w:val="00090D18"/>
    <w:rsid w:val="000E3AD5"/>
    <w:rsid w:val="000F2373"/>
    <w:rsid w:val="00113BF8"/>
    <w:rsid w:val="001235FA"/>
    <w:rsid w:val="0015473F"/>
    <w:rsid w:val="00162D63"/>
    <w:rsid w:val="00196DEE"/>
    <w:rsid w:val="001B5BB7"/>
    <w:rsid w:val="00257154"/>
    <w:rsid w:val="002F18A7"/>
    <w:rsid w:val="00304A50"/>
    <w:rsid w:val="003712AA"/>
    <w:rsid w:val="00426D20"/>
    <w:rsid w:val="004B528C"/>
    <w:rsid w:val="004B5C91"/>
    <w:rsid w:val="004B7555"/>
    <w:rsid w:val="00515173"/>
    <w:rsid w:val="00530987"/>
    <w:rsid w:val="00554BB2"/>
    <w:rsid w:val="005F0BAA"/>
    <w:rsid w:val="00614667"/>
    <w:rsid w:val="00674B7F"/>
    <w:rsid w:val="00681AE8"/>
    <w:rsid w:val="006A66C2"/>
    <w:rsid w:val="006B2DF3"/>
    <w:rsid w:val="006B6369"/>
    <w:rsid w:val="006D1D85"/>
    <w:rsid w:val="007017D0"/>
    <w:rsid w:val="00722063"/>
    <w:rsid w:val="007562E0"/>
    <w:rsid w:val="007F27BB"/>
    <w:rsid w:val="008221F5"/>
    <w:rsid w:val="0089245A"/>
    <w:rsid w:val="008F5B05"/>
    <w:rsid w:val="00942AAD"/>
    <w:rsid w:val="009804E1"/>
    <w:rsid w:val="00985ECB"/>
    <w:rsid w:val="0099314F"/>
    <w:rsid w:val="009C7044"/>
    <w:rsid w:val="009D30E2"/>
    <w:rsid w:val="00A320C0"/>
    <w:rsid w:val="00A54A35"/>
    <w:rsid w:val="00A67921"/>
    <w:rsid w:val="00A9704B"/>
    <w:rsid w:val="00AA3649"/>
    <w:rsid w:val="00AF49D7"/>
    <w:rsid w:val="00B25E3B"/>
    <w:rsid w:val="00B3424D"/>
    <w:rsid w:val="00B44ACC"/>
    <w:rsid w:val="00B54AA0"/>
    <w:rsid w:val="00B82614"/>
    <w:rsid w:val="00BC430F"/>
    <w:rsid w:val="00CA205C"/>
    <w:rsid w:val="00D31F3F"/>
    <w:rsid w:val="00D352E8"/>
    <w:rsid w:val="00D67801"/>
    <w:rsid w:val="00D75735"/>
    <w:rsid w:val="00DE7659"/>
    <w:rsid w:val="00E974E7"/>
    <w:rsid w:val="00EB255E"/>
    <w:rsid w:val="00EC6699"/>
    <w:rsid w:val="00ED3116"/>
    <w:rsid w:val="00F10F50"/>
    <w:rsid w:val="00F318EC"/>
    <w:rsid w:val="00F7709D"/>
    <w:rsid w:val="00FA44B3"/>
    <w:rsid w:val="00FC2571"/>
    <w:rsid w:val="00FD30CF"/>
    <w:rsid w:val="04FB2F1C"/>
    <w:rsid w:val="06796A2D"/>
    <w:rsid w:val="08845B88"/>
    <w:rsid w:val="08CC5F7D"/>
    <w:rsid w:val="094457B5"/>
    <w:rsid w:val="0B2A3EA5"/>
    <w:rsid w:val="0D677E4F"/>
    <w:rsid w:val="12616027"/>
    <w:rsid w:val="13421558"/>
    <w:rsid w:val="158F7C94"/>
    <w:rsid w:val="15EC2CE4"/>
    <w:rsid w:val="174A17AE"/>
    <w:rsid w:val="18535174"/>
    <w:rsid w:val="18B22F8F"/>
    <w:rsid w:val="1A6E19EB"/>
    <w:rsid w:val="1AC31A76"/>
    <w:rsid w:val="1D6E4ED7"/>
    <w:rsid w:val="20C544ED"/>
    <w:rsid w:val="21805301"/>
    <w:rsid w:val="26FF4EDB"/>
    <w:rsid w:val="28E57FD6"/>
    <w:rsid w:val="29BA527D"/>
    <w:rsid w:val="2B8279A6"/>
    <w:rsid w:val="2C463F2B"/>
    <w:rsid w:val="2EC779A8"/>
    <w:rsid w:val="305E3154"/>
    <w:rsid w:val="31FC0A04"/>
    <w:rsid w:val="337E7ACD"/>
    <w:rsid w:val="34683EAE"/>
    <w:rsid w:val="397A6BC3"/>
    <w:rsid w:val="3AA857C2"/>
    <w:rsid w:val="3D22462E"/>
    <w:rsid w:val="3D90570D"/>
    <w:rsid w:val="3F994C8C"/>
    <w:rsid w:val="406A5E3B"/>
    <w:rsid w:val="416C2548"/>
    <w:rsid w:val="42EC64FF"/>
    <w:rsid w:val="43E768F4"/>
    <w:rsid w:val="4BA30626"/>
    <w:rsid w:val="4CD104D3"/>
    <w:rsid w:val="4DBC496A"/>
    <w:rsid w:val="4E300C55"/>
    <w:rsid w:val="51360785"/>
    <w:rsid w:val="55890966"/>
    <w:rsid w:val="572F6299"/>
    <w:rsid w:val="5A786456"/>
    <w:rsid w:val="5CE25DCE"/>
    <w:rsid w:val="5D151A34"/>
    <w:rsid w:val="61D66A13"/>
    <w:rsid w:val="64110ED4"/>
    <w:rsid w:val="64C46EB8"/>
    <w:rsid w:val="653624C6"/>
    <w:rsid w:val="660A60F8"/>
    <w:rsid w:val="66135DF7"/>
    <w:rsid w:val="68EC3BF7"/>
    <w:rsid w:val="6A3A2708"/>
    <w:rsid w:val="6BCD082F"/>
    <w:rsid w:val="6D3113B3"/>
    <w:rsid w:val="6DAD3781"/>
    <w:rsid w:val="6F0F080D"/>
    <w:rsid w:val="6F3D7D8E"/>
    <w:rsid w:val="70776CBE"/>
    <w:rsid w:val="70BE476A"/>
    <w:rsid w:val="72016718"/>
    <w:rsid w:val="754B297D"/>
    <w:rsid w:val="75F45394"/>
    <w:rsid w:val="762649DA"/>
    <w:rsid w:val="77152BED"/>
    <w:rsid w:val="771F15FE"/>
    <w:rsid w:val="77427E50"/>
    <w:rsid w:val="7A430EA6"/>
    <w:rsid w:val="7AC4324B"/>
    <w:rsid w:val="7C8D1F53"/>
    <w:rsid w:val="7E4E4EEF"/>
    <w:rsid w:val="7EE0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00F39"/>
  <w15:docId w15:val="{D81B2457-95C6-41E1-9B10-277E1844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Standard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qFormat/>
    <w:rPr>
      <w:b/>
      <w:bCs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draj1">
    <w:name w:val="toc 1"/>
    <w:basedOn w:val="Normal"/>
    <w:next w:val="Normal"/>
    <w:uiPriority w:val="39"/>
    <w:unhideWhenUsed/>
    <w:qFormat/>
    <w:pPr>
      <w:tabs>
        <w:tab w:val="right" w:leader="dot" w:pos="9062"/>
      </w:tabs>
      <w:spacing w:after="100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styleId="Sadraj2">
    <w:name w:val="toc 2"/>
    <w:basedOn w:val="Normal"/>
    <w:next w:val="Normal"/>
    <w:uiPriority w:val="39"/>
    <w:unhideWhenUsed/>
    <w:qFormat/>
    <w:pPr>
      <w:spacing w:after="100"/>
      <w:ind w:left="220"/>
    </w:pPr>
    <w:rPr>
      <w:rFonts w:eastAsiaTheme="minorEastAsia"/>
      <w:lang w:eastAsia="hr-HR"/>
    </w:rPr>
  </w:style>
  <w:style w:type="paragraph" w:styleId="Sadraj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paragraph" w:styleId="Sadraj4">
    <w:name w:val="toc 4"/>
    <w:basedOn w:val="Normal"/>
    <w:next w:val="Normal"/>
    <w:uiPriority w:val="39"/>
    <w:unhideWhenUsed/>
    <w:qFormat/>
    <w:pPr>
      <w:spacing w:after="100"/>
      <w:ind w:left="660"/>
    </w:pPr>
    <w:rPr>
      <w:rFonts w:eastAsiaTheme="minorEastAsia"/>
      <w:lang w:eastAsia="hr-HR"/>
    </w:rPr>
  </w:style>
  <w:style w:type="paragraph" w:styleId="Sadraj5">
    <w:name w:val="toc 5"/>
    <w:basedOn w:val="Normal"/>
    <w:next w:val="Normal"/>
    <w:uiPriority w:val="39"/>
    <w:unhideWhenUsed/>
    <w:qFormat/>
    <w:pPr>
      <w:spacing w:after="100"/>
      <w:ind w:left="880"/>
    </w:pPr>
    <w:rPr>
      <w:rFonts w:eastAsiaTheme="minorEastAsia"/>
      <w:lang w:eastAsia="hr-HR"/>
    </w:rPr>
  </w:style>
  <w:style w:type="paragraph" w:styleId="Sadraj6">
    <w:name w:val="toc 6"/>
    <w:basedOn w:val="Normal"/>
    <w:next w:val="Normal"/>
    <w:uiPriority w:val="39"/>
    <w:unhideWhenUsed/>
    <w:qFormat/>
    <w:pPr>
      <w:spacing w:after="100"/>
      <w:ind w:left="1100"/>
    </w:pPr>
    <w:rPr>
      <w:rFonts w:eastAsiaTheme="minorEastAsia"/>
      <w:lang w:eastAsia="hr-HR"/>
    </w:rPr>
  </w:style>
  <w:style w:type="paragraph" w:styleId="Sadraj7">
    <w:name w:val="toc 7"/>
    <w:basedOn w:val="Normal"/>
    <w:next w:val="Normal"/>
    <w:uiPriority w:val="39"/>
    <w:unhideWhenUsed/>
    <w:qFormat/>
    <w:pPr>
      <w:spacing w:after="100"/>
      <w:ind w:left="1320"/>
    </w:pPr>
    <w:rPr>
      <w:rFonts w:eastAsiaTheme="minorEastAsia"/>
      <w:lang w:eastAsia="hr-HR"/>
    </w:rPr>
  </w:style>
  <w:style w:type="paragraph" w:styleId="Sadraj8">
    <w:name w:val="toc 8"/>
    <w:basedOn w:val="Normal"/>
    <w:next w:val="Normal"/>
    <w:uiPriority w:val="39"/>
    <w:unhideWhenUsed/>
    <w:qFormat/>
    <w:pPr>
      <w:spacing w:after="100"/>
      <w:ind w:left="1540"/>
    </w:pPr>
    <w:rPr>
      <w:rFonts w:eastAsiaTheme="minorEastAsia"/>
      <w:lang w:eastAsia="hr-HR"/>
    </w:rPr>
  </w:style>
  <w:style w:type="paragraph" w:styleId="Sadraj9">
    <w:name w:val="toc 9"/>
    <w:basedOn w:val="Normal"/>
    <w:next w:val="Normal"/>
    <w:uiPriority w:val="39"/>
    <w:unhideWhenUsed/>
    <w:qFormat/>
    <w:pPr>
      <w:spacing w:after="100"/>
      <w:ind w:left="1760"/>
    </w:pPr>
    <w:rPr>
      <w:rFonts w:eastAsiaTheme="minorEastAsia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kern w:val="2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kern w:val="2"/>
      <w14:ligatures w14:val="standardContextual"/>
    </w:rPr>
  </w:style>
  <w:style w:type="paragraph" w:customStyle="1" w:styleId="TOCNaslov1">
    <w:name w:val="TOC Naslov1"/>
    <w:basedOn w:val="Naslov1"/>
    <w:next w:val="Normal"/>
    <w:uiPriority w:val="39"/>
    <w:unhideWhenUsed/>
    <w:qFormat/>
    <w:pPr>
      <w:outlineLvl w:val="9"/>
    </w:pPr>
    <w:rPr>
      <w:kern w:val="0"/>
      <w:lang w:eastAsia="hr-HR"/>
      <w14:ligatures w14:val="non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Tablicareetke3-isticanje11">
    <w:name w:val="Tablica rešetke 3 - isticanje 11"/>
    <w:basedOn w:val="Obinatablica"/>
    <w:uiPriority w:val="48"/>
    <w:qFormat/>
    <w:rPr>
      <w:kern w:val="2"/>
      <w14:ligatures w14:val="standardContextual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qFormat/>
    <w:rPr>
      <w:kern w:val="2"/>
      <w14:ligatures w14:val="standardContextual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Svijetlatablicareetke-isticanje11">
    <w:name w:val="Svijetla tablica rešetke - isticanje 11"/>
    <w:basedOn w:val="Obinatablica"/>
    <w:uiPriority w:val="46"/>
    <w:qFormat/>
    <w:rPr>
      <w:kern w:val="2"/>
      <w14:ligatures w14:val="standardContextual"/>
    </w:rPr>
    <w:tblPr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popisa4-isticanje11">
    <w:name w:val="Tablica popisa 4 - isticanje 11"/>
    <w:basedOn w:val="Obinatablica"/>
    <w:uiPriority w:val="49"/>
    <w:qFormat/>
    <w:rPr>
      <w:kern w:val="2"/>
      <w14:ligatures w14:val="standardContextual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icareetke4-isticanje11">
    <w:name w:val="Tablica rešetke 4 - isticanje 11"/>
    <w:basedOn w:val="Obinatablica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3F807-4F6A-4A77-8322-DA45DC36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2544</Words>
  <Characters>15386</Characters>
  <Application>Microsoft Office Word</Application>
  <DocSecurity>0</DocSecurity>
  <Lines>562</Lines>
  <Paragraphs>303</Paragraphs>
  <ScaleCrop>false</ScaleCrop>
  <Company/>
  <LinksUpToDate>false</LinksUpToDate>
  <CharactersWithSpaces>17870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bvresk@gmail.com</dc:creator>
  <cp:lastModifiedBy>opg.giuliano@gmail.com</cp:lastModifiedBy>
  <cp:revision>3</cp:revision>
  <dcterms:created xsi:type="dcterms:W3CDTF">2025-11-10T08:48:00Z</dcterms:created>
  <dcterms:modified xsi:type="dcterms:W3CDTF">2025-11-10T08:50:00Z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E86BA496411E445A87A3CD520D478A7D_13</vt:lpwstr>
  </property>
  <property fmtid="{D5CDD505-2E9C-101B-9397-08002B2CF9AE}" pid="4" name="GrammarlyDocumentId">
    <vt:lpwstr>fbe8968a-38fc-4f86-bd39-547a0143f764</vt:lpwstr>
  </property>
</Properties>
</file>